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082C1">
      <w:pPr>
        <w:adjustRightInd w:val="0"/>
        <w:snapToGrid w:val="0"/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  <w:t>赣州绕城高速公路路面病害处治（二期）工程及赣定、龙杨、兴赣高速公路路面积水专项处治工程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  <w:t>施工招标关键内容公开</w:t>
      </w:r>
    </w:p>
    <w:p w14:paraId="15FF2236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8"/>
          <w:szCs w:val="38"/>
          <w:highlight w:val="none"/>
          <w:lang w:eastAsia="zh-CN"/>
        </w:rPr>
      </w:pPr>
    </w:p>
    <w:p w14:paraId="017D8C1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根据《公路工程建设项目招标投标管理办法》的规定，现对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赣州绕城高速公路路面病害处治（二期）工程及赣定、龙杨、兴赣高速公路路面积水专项处治工程施工招标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文件中的关键内容进行公开：</w:t>
      </w:r>
    </w:p>
    <w:p w14:paraId="103E35C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一、项目概况</w:t>
      </w:r>
    </w:p>
    <w:p w14:paraId="79AF2D8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详见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赣州绕城高速公路路面病害处治（二期）工程及赣定、龙杨、兴赣高速公路路面积水专项处治工程施工招标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公告。</w:t>
      </w:r>
    </w:p>
    <w:p w14:paraId="33BDF92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二、投标人资格要求</w:t>
      </w:r>
    </w:p>
    <w:p w14:paraId="4BC5212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详见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赣州绕城高速公路路面病害处治（二期）工程及赣定、龙杨、兴赣高速公路路面积水专项处治工程施工招标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公告。</w:t>
      </w:r>
    </w:p>
    <w:p w14:paraId="23A4935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三、评标办法</w:t>
      </w:r>
    </w:p>
    <w:p w14:paraId="2580663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本次招标采用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技术评分最低标价法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（详见附件）。</w:t>
      </w:r>
    </w:p>
    <w:p w14:paraId="5124741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四、联系方式</w:t>
      </w:r>
    </w:p>
    <w:p w14:paraId="0A3EAF6B">
      <w:pPr>
        <w:pStyle w:val="5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76" w:firstLineChars="200"/>
        <w:textAlignment w:val="auto"/>
        <w:rPr>
          <w:rFonts w:hint="default"/>
          <w:color w:val="auto"/>
          <w:spacing w:val="-1"/>
          <w:sz w:val="24"/>
          <w:szCs w:val="24"/>
          <w:highlight w:val="none"/>
          <w:lang w:eastAsia="zh-CN"/>
        </w:rPr>
      </w:pPr>
      <w:r>
        <w:rPr>
          <w:rFonts w:hint="default"/>
          <w:color w:val="auto"/>
          <w:spacing w:val="-1"/>
          <w:sz w:val="24"/>
          <w:szCs w:val="24"/>
          <w:highlight w:val="none"/>
        </w:rPr>
        <w:t>招标人：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highlight w:val="none"/>
          <w:lang w:eastAsia="zh-CN"/>
        </w:rPr>
        <w:t>赣州交通控股集团有限公司</w:t>
      </w:r>
      <w:r>
        <w:rPr>
          <w:rFonts w:hint="eastAsia"/>
          <w:color w:val="auto"/>
          <w:spacing w:val="-1"/>
          <w:sz w:val="24"/>
          <w:szCs w:val="24"/>
          <w:highlight w:val="none"/>
          <w:lang w:eastAsia="zh-CN"/>
        </w:rPr>
        <w:t xml:space="preserve">  </w:t>
      </w:r>
    </w:p>
    <w:p w14:paraId="369205AB">
      <w:pPr>
        <w:pStyle w:val="5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76" w:firstLineChars="200"/>
        <w:textAlignment w:val="auto"/>
        <w:rPr>
          <w:rFonts w:hint="default"/>
          <w:color w:val="auto"/>
          <w:spacing w:val="20"/>
          <w:sz w:val="24"/>
          <w:szCs w:val="24"/>
          <w:highlight w:val="none"/>
        </w:rPr>
      </w:pPr>
      <w:r>
        <w:rPr>
          <w:rFonts w:hint="default"/>
          <w:color w:val="auto"/>
          <w:spacing w:val="-1"/>
          <w:sz w:val="24"/>
          <w:szCs w:val="24"/>
          <w:highlight w:val="none"/>
        </w:rPr>
        <w:t>地</w:t>
      </w:r>
      <w:r>
        <w:rPr>
          <w:rFonts w:hint="default"/>
          <w:color w:val="auto"/>
          <w:sz w:val="24"/>
          <w:szCs w:val="24"/>
          <w:highlight w:val="none"/>
        </w:rPr>
        <w:t xml:space="preserve">   址：江西省赣州市章贡区沙河镇赣州绕城高速赣州东出口</w:t>
      </w:r>
      <w:r>
        <w:rPr>
          <w:rFonts w:hint="default"/>
          <w:color w:val="auto"/>
          <w:spacing w:val="20"/>
          <w:sz w:val="24"/>
          <w:szCs w:val="24"/>
          <w:highlight w:val="none"/>
        </w:rPr>
        <w:t xml:space="preserve"> </w:t>
      </w:r>
    </w:p>
    <w:p w14:paraId="4AF12E90">
      <w:pPr>
        <w:pStyle w:val="5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76" w:firstLineChars="200"/>
        <w:textAlignment w:val="auto"/>
        <w:rPr>
          <w:rFonts w:hint="default"/>
          <w:color w:val="auto"/>
          <w:sz w:val="24"/>
          <w:szCs w:val="24"/>
          <w:highlight w:val="none"/>
        </w:rPr>
      </w:pPr>
      <w:r>
        <w:rPr>
          <w:rFonts w:hint="default"/>
          <w:color w:val="auto"/>
          <w:spacing w:val="-1"/>
          <w:sz w:val="24"/>
          <w:szCs w:val="24"/>
          <w:highlight w:val="none"/>
        </w:rPr>
        <w:t>邮</w:t>
      </w:r>
      <w:r>
        <w:rPr>
          <w:rFonts w:hint="default"/>
          <w:color w:val="auto"/>
          <w:sz w:val="24"/>
          <w:szCs w:val="24"/>
          <w:highlight w:val="none"/>
        </w:rPr>
        <w:t xml:space="preserve"> </w:t>
      </w:r>
      <w:r>
        <w:rPr>
          <w:rFonts w:hint="default"/>
          <w:color w:val="auto"/>
          <w:spacing w:val="120"/>
          <w:sz w:val="24"/>
          <w:szCs w:val="24"/>
          <w:highlight w:val="none"/>
        </w:rPr>
        <w:t xml:space="preserve"> </w:t>
      </w:r>
      <w:r>
        <w:rPr>
          <w:rFonts w:hint="default"/>
          <w:color w:val="auto"/>
          <w:sz w:val="24"/>
          <w:szCs w:val="24"/>
          <w:highlight w:val="none"/>
        </w:rPr>
        <w:t>编：341000</w:t>
      </w:r>
    </w:p>
    <w:p w14:paraId="557C2BBA">
      <w:pPr>
        <w:pStyle w:val="5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76" w:firstLineChars="200"/>
        <w:textAlignment w:val="auto"/>
        <w:rPr>
          <w:rFonts w:hint="default"/>
          <w:color w:val="auto"/>
          <w:sz w:val="24"/>
          <w:szCs w:val="24"/>
          <w:highlight w:val="none"/>
        </w:rPr>
      </w:pPr>
      <w:r>
        <w:rPr>
          <w:rFonts w:hint="default"/>
          <w:color w:val="auto"/>
          <w:spacing w:val="-1"/>
          <w:sz w:val="24"/>
          <w:szCs w:val="24"/>
          <w:highlight w:val="none"/>
        </w:rPr>
        <w:t>联系人：</w:t>
      </w:r>
      <w:r>
        <w:rPr>
          <w:rFonts w:hint="eastAsia"/>
          <w:color w:val="auto"/>
          <w:spacing w:val="-1"/>
          <w:sz w:val="24"/>
          <w:szCs w:val="24"/>
          <w:highlight w:val="none"/>
          <w:lang w:val="en-US" w:eastAsia="zh-CN"/>
        </w:rPr>
        <w:t>温女士</w:t>
      </w:r>
      <w:r>
        <w:rPr>
          <w:rFonts w:hint="default"/>
          <w:color w:val="auto"/>
          <w:sz w:val="24"/>
          <w:szCs w:val="24"/>
          <w:highlight w:val="none"/>
        </w:rPr>
        <w:t xml:space="preserve"> </w:t>
      </w:r>
    </w:p>
    <w:p w14:paraId="25DF377D">
      <w:pPr>
        <w:pStyle w:val="5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76" w:firstLineChars="200"/>
        <w:textAlignment w:val="auto"/>
        <w:rPr>
          <w:rFonts w:hint="default"/>
          <w:color w:val="auto"/>
          <w:spacing w:val="20"/>
          <w:sz w:val="24"/>
          <w:szCs w:val="24"/>
          <w:highlight w:val="none"/>
        </w:rPr>
      </w:pPr>
      <w:r>
        <w:rPr>
          <w:rFonts w:hint="default"/>
          <w:color w:val="auto"/>
          <w:spacing w:val="-1"/>
          <w:sz w:val="24"/>
          <w:szCs w:val="24"/>
          <w:highlight w:val="none"/>
        </w:rPr>
        <w:t>电</w:t>
      </w:r>
      <w:r>
        <w:rPr>
          <w:rFonts w:hint="default"/>
          <w:color w:val="auto"/>
          <w:sz w:val="24"/>
          <w:szCs w:val="24"/>
          <w:highlight w:val="none"/>
        </w:rPr>
        <w:t xml:space="preserve">   话：0797-8289692</w:t>
      </w:r>
      <w:r>
        <w:rPr>
          <w:rFonts w:hint="default"/>
          <w:color w:val="auto"/>
          <w:spacing w:val="20"/>
          <w:sz w:val="24"/>
          <w:szCs w:val="24"/>
          <w:highlight w:val="none"/>
        </w:rPr>
        <w:t xml:space="preserve"> </w:t>
      </w:r>
    </w:p>
    <w:p w14:paraId="40EC2751">
      <w:pPr>
        <w:pStyle w:val="5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76" w:firstLineChars="200"/>
        <w:textAlignment w:val="auto"/>
        <w:rPr>
          <w:rFonts w:hint="default"/>
          <w:color w:val="auto"/>
          <w:sz w:val="24"/>
          <w:szCs w:val="24"/>
          <w:highlight w:val="none"/>
        </w:rPr>
      </w:pPr>
      <w:r>
        <w:rPr>
          <w:rFonts w:hint="default"/>
          <w:color w:val="auto"/>
          <w:spacing w:val="-1"/>
          <w:sz w:val="24"/>
          <w:szCs w:val="24"/>
          <w:highlight w:val="none"/>
        </w:rPr>
        <w:t>传</w:t>
      </w:r>
      <w:r>
        <w:rPr>
          <w:rFonts w:hint="default"/>
          <w:color w:val="auto"/>
          <w:sz w:val="24"/>
          <w:szCs w:val="24"/>
          <w:highlight w:val="none"/>
        </w:rPr>
        <w:t xml:space="preserve">   真：0797-8289692</w:t>
      </w:r>
    </w:p>
    <w:p w14:paraId="69913CD4">
      <w:pPr>
        <w:pStyle w:val="5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00" w:firstLineChars="200"/>
        <w:textAlignment w:val="auto"/>
        <w:rPr>
          <w:rFonts w:hint="default"/>
          <w:color w:val="auto"/>
          <w:sz w:val="20"/>
          <w:szCs w:val="24"/>
          <w:highlight w:val="none"/>
        </w:rPr>
      </w:pPr>
    </w:p>
    <w:p w14:paraId="59271B1D">
      <w:pPr>
        <w:pStyle w:val="5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eastAsia" w:eastAsia="宋体"/>
          <w:color w:val="auto"/>
          <w:sz w:val="24"/>
          <w:szCs w:val="24"/>
          <w:highlight w:val="none"/>
          <w:lang w:eastAsia="zh-CN"/>
        </w:rPr>
      </w:pPr>
      <w:r>
        <w:rPr>
          <w:rFonts w:hint="default"/>
          <w:color w:val="auto"/>
          <w:sz w:val="24"/>
          <w:szCs w:val="24"/>
          <w:highlight w:val="none"/>
        </w:rPr>
        <w:t>招标代理机构：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江西省赣南公路勘察设计院有限公司</w:t>
      </w:r>
    </w:p>
    <w:p w14:paraId="70079913">
      <w:pPr>
        <w:pStyle w:val="5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76" w:firstLineChars="200"/>
        <w:textAlignment w:val="auto"/>
        <w:rPr>
          <w:rFonts w:hint="default"/>
          <w:color w:val="auto"/>
          <w:sz w:val="24"/>
          <w:szCs w:val="24"/>
          <w:highlight w:val="none"/>
        </w:rPr>
      </w:pPr>
      <w:r>
        <w:rPr>
          <w:rFonts w:hint="default"/>
          <w:color w:val="auto"/>
          <w:spacing w:val="-1"/>
          <w:sz w:val="24"/>
          <w:szCs w:val="24"/>
          <w:highlight w:val="none"/>
        </w:rPr>
        <w:t>地</w:t>
      </w:r>
      <w:r>
        <w:rPr>
          <w:rFonts w:hint="default"/>
          <w:color w:val="auto"/>
          <w:sz w:val="24"/>
          <w:szCs w:val="24"/>
          <w:highlight w:val="none"/>
        </w:rPr>
        <w:t xml:space="preserve">        址：赣州市章江新区赞贤路</w:t>
      </w:r>
      <w:r>
        <w:rPr>
          <w:rFonts w:hint="default"/>
          <w:color w:val="auto"/>
          <w:spacing w:val="-60"/>
          <w:sz w:val="24"/>
          <w:szCs w:val="24"/>
          <w:highlight w:val="none"/>
        </w:rPr>
        <w:t xml:space="preserve"> </w:t>
      </w:r>
      <w:r>
        <w:rPr>
          <w:rFonts w:hint="default"/>
          <w:color w:val="auto"/>
          <w:sz w:val="24"/>
          <w:szCs w:val="24"/>
          <w:highlight w:val="none"/>
        </w:rPr>
        <w:t>36</w:t>
      </w:r>
      <w:r>
        <w:rPr>
          <w:rFonts w:hint="default"/>
          <w:color w:val="auto"/>
          <w:spacing w:val="-60"/>
          <w:sz w:val="24"/>
          <w:szCs w:val="24"/>
          <w:highlight w:val="none"/>
        </w:rPr>
        <w:t xml:space="preserve"> </w:t>
      </w:r>
      <w:r>
        <w:rPr>
          <w:rFonts w:hint="default"/>
          <w:color w:val="auto"/>
          <w:sz w:val="24"/>
          <w:szCs w:val="24"/>
          <w:highlight w:val="none"/>
        </w:rPr>
        <w:t>号</w:t>
      </w:r>
    </w:p>
    <w:p w14:paraId="4EB92C8D">
      <w:pPr>
        <w:pStyle w:val="5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76" w:firstLineChars="200"/>
        <w:textAlignment w:val="auto"/>
        <w:rPr>
          <w:rFonts w:hint="default"/>
          <w:color w:val="auto"/>
          <w:sz w:val="24"/>
          <w:szCs w:val="24"/>
          <w:highlight w:val="none"/>
          <w:lang w:eastAsia="zh-CN"/>
        </w:rPr>
      </w:pPr>
      <w:r>
        <w:rPr>
          <w:rFonts w:hint="default"/>
          <w:color w:val="auto"/>
          <w:spacing w:val="-1"/>
          <w:sz w:val="24"/>
          <w:szCs w:val="24"/>
          <w:highlight w:val="none"/>
        </w:rPr>
        <w:t>联</w:t>
      </w:r>
      <w:r>
        <w:rPr>
          <w:rFonts w:hint="default"/>
          <w:color w:val="auto"/>
          <w:sz w:val="24"/>
          <w:szCs w:val="24"/>
          <w:highlight w:val="none"/>
        </w:rPr>
        <w:t xml:space="preserve"> </w:t>
      </w:r>
      <w:r>
        <w:rPr>
          <w:rFonts w:hint="default"/>
          <w:color w:val="auto"/>
          <w:spacing w:val="120"/>
          <w:sz w:val="24"/>
          <w:szCs w:val="24"/>
          <w:highlight w:val="none"/>
        </w:rPr>
        <w:t xml:space="preserve"> </w:t>
      </w:r>
      <w:r>
        <w:rPr>
          <w:rFonts w:hint="default"/>
          <w:color w:val="auto"/>
          <w:sz w:val="24"/>
          <w:szCs w:val="24"/>
          <w:highlight w:val="none"/>
        </w:rPr>
        <w:t xml:space="preserve">系 </w:t>
      </w:r>
      <w:r>
        <w:rPr>
          <w:rFonts w:hint="default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/>
          <w:color w:val="auto"/>
          <w:sz w:val="24"/>
          <w:szCs w:val="24"/>
          <w:highlight w:val="none"/>
        </w:rPr>
        <w:t>人：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谢</w:t>
      </w:r>
      <w:r>
        <w:rPr>
          <w:rFonts w:hint="default"/>
          <w:color w:val="auto"/>
          <w:sz w:val="24"/>
          <w:szCs w:val="24"/>
          <w:highlight w:val="none"/>
          <w:lang w:eastAsia="zh-CN"/>
        </w:rPr>
        <w:t>工</w:t>
      </w:r>
    </w:p>
    <w:p w14:paraId="1B859C6D">
      <w:pPr>
        <w:pStyle w:val="5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76" w:firstLineChars="200"/>
        <w:textAlignment w:val="auto"/>
        <w:rPr>
          <w:rFonts w:hint="default"/>
          <w:color w:val="auto"/>
          <w:spacing w:val="20"/>
          <w:sz w:val="24"/>
          <w:szCs w:val="24"/>
          <w:highlight w:val="none"/>
        </w:rPr>
      </w:pPr>
      <w:r>
        <w:rPr>
          <w:rFonts w:hint="default"/>
          <w:color w:val="auto"/>
          <w:spacing w:val="-1"/>
          <w:sz w:val="24"/>
          <w:szCs w:val="24"/>
          <w:highlight w:val="none"/>
        </w:rPr>
        <w:t>电</w:t>
      </w:r>
      <w:r>
        <w:rPr>
          <w:rFonts w:hint="default"/>
          <w:color w:val="auto"/>
          <w:sz w:val="24"/>
          <w:szCs w:val="24"/>
          <w:highlight w:val="none"/>
        </w:rPr>
        <w:t xml:space="preserve">     </w:t>
      </w:r>
      <w:r>
        <w:rPr>
          <w:rFonts w:hint="default"/>
          <w:color w:val="auto"/>
          <w:spacing w:val="120"/>
          <w:sz w:val="24"/>
          <w:szCs w:val="24"/>
          <w:highlight w:val="none"/>
        </w:rPr>
        <w:t xml:space="preserve"> </w:t>
      </w:r>
      <w:r>
        <w:rPr>
          <w:rFonts w:hint="default"/>
          <w:color w:val="auto"/>
          <w:sz w:val="24"/>
          <w:szCs w:val="24"/>
          <w:highlight w:val="none"/>
        </w:rPr>
        <w:t>话： 0797-8088235</w:t>
      </w:r>
      <w:r>
        <w:rPr>
          <w:rFonts w:hint="default"/>
          <w:color w:val="auto"/>
          <w:spacing w:val="20"/>
          <w:sz w:val="24"/>
          <w:szCs w:val="24"/>
          <w:highlight w:val="none"/>
        </w:rPr>
        <w:t xml:space="preserve"> </w:t>
      </w:r>
    </w:p>
    <w:p w14:paraId="78B8D7E5">
      <w:pPr>
        <w:pStyle w:val="5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76" w:firstLineChars="200"/>
        <w:textAlignment w:val="auto"/>
        <w:rPr>
          <w:rFonts w:hint="default"/>
          <w:color w:val="auto"/>
          <w:spacing w:val="-1"/>
          <w:sz w:val="24"/>
          <w:szCs w:val="24"/>
          <w:highlight w:val="none"/>
        </w:rPr>
      </w:pPr>
      <w:r>
        <w:rPr>
          <w:rFonts w:hint="default"/>
          <w:color w:val="auto"/>
          <w:spacing w:val="-1"/>
          <w:sz w:val="24"/>
          <w:szCs w:val="24"/>
          <w:highlight w:val="none"/>
        </w:rPr>
        <w:t>电子邮件：</w:t>
      </w:r>
      <w:r>
        <w:rPr>
          <w:rFonts w:hint="default"/>
          <w:color w:val="auto"/>
          <w:spacing w:val="-1"/>
          <w:sz w:val="24"/>
          <w:szCs w:val="24"/>
          <w:highlight w:val="none"/>
        </w:rPr>
        <w:fldChar w:fldCharType="begin"/>
      </w:r>
      <w:r>
        <w:rPr>
          <w:rFonts w:hint="default"/>
          <w:color w:val="auto"/>
          <w:spacing w:val="-1"/>
          <w:sz w:val="24"/>
          <w:szCs w:val="24"/>
          <w:highlight w:val="none"/>
        </w:rPr>
        <w:instrText xml:space="preserve"> HYPERLINK "mailto:gnglkcsjy@163.com" </w:instrText>
      </w:r>
      <w:r>
        <w:rPr>
          <w:rFonts w:hint="default"/>
          <w:color w:val="auto"/>
          <w:spacing w:val="-1"/>
          <w:sz w:val="24"/>
          <w:szCs w:val="24"/>
          <w:highlight w:val="none"/>
        </w:rPr>
        <w:fldChar w:fldCharType="separate"/>
      </w:r>
      <w:r>
        <w:rPr>
          <w:rFonts w:hint="default"/>
          <w:color w:val="auto"/>
          <w:spacing w:val="-1"/>
          <w:sz w:val="24"/>
          <w:szCs w:val="24"/>
          <w:highlight w:val="none"/>
        </w:rPr>
        <w:t>gnglkcsjy@163.com</w:t>
      </w:r>
      <w:r>
        <w:rPr>
          <w:rFonts w:hint="default"/>
          <w:color w:val="auto"/>
          <w:spacing w:val="-1"/>
          <w:sz w:val="24"/>
          <w:szCs w:val="24"/>
          <w:highlight w:val="none"/>
        </w:rPr>
        <w:fldChar w:fldCharType="end"/>
      </w:r>
    </w:p>
    <w:p w14:paraId="768FEFA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5156B71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附件：</w:t>
      </w:r>
      <w:bookmarkStart w:id="0" w:name="_Toc9094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评标办法</w:t>
      </w:r>
    </w:p>
    <w:bookmarkEnd w:id="0"/>
    <w:tbl>
      <w:tblPr>
        <w:tblStyle w:val="11"/>
        <w:tblW w:w="94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843"/>
        <w:gridCol w:w="776"/>
        <w:gridCol w:w="2000"/>
        <w:gridCol w:w="5075"/>
      </w:tblGrid>
      <w:tr w14:paraId="7D978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404" w:type="dxa"/>
            <w:gridSpan w:val="3"/>
            <w:noWrap w:val="0"/>
            <w:vAlign w:val="center"/>
          </w:tcPr>
          <w:p w14:paraId="2AF51F6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sz w:val="21"/>
                <w:highlight w:val="none"/>
              </w:rPr>
            </w:pPr>
            <w:bookmarkStart w:id="1" w:name="bookmark72"/>
            <w:bookmarkEnd w:id="1"/>
            <w:r>
              <w:rPr>
                <w:rFonts w:hint="eastAsia" w:ascii="宋体" w:hAnsi="宋体" w:cs="宋体"/>
                <w:b/>
                <w:sz w:val="21"/>
                <w:highlight w:val="none"/>
              </w:rPr>
              <w:t>条款号</w:t>
            </w:r>
          </w:p>
        </w:tc>
        <w:tc>
          <w:tcPr>
            <w:tcW w:w="7075" w:type="dxa"/>
            <w:gridSpan w:val="2"/>
            <w:noWrap w:val="0"/>
            <w:vAlign w:val="top"/>
          </w:tcPr>
          <w:p w14:paraId="746EAC59">
            <w:pPr>
              <w:pStyle w:val="14"/>
              <w:spacing w:before="130" w:line="250" w:lineRule="exact"/>
              <w:ind w:left="2341" w:right="2329"/>
              <w:jc w:val="center"/>
              <w:rPr>
                <w:rFonts w:hint="eastAsia" w:ascii="宋体" w:hAnsi="宋体" w:cs="宋体"/>
                <w:b/>
                <w:sz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 w:val="21"/>
                <w:highlight w:val="none"/>
              </w:rPr>
              <w:t>评审因素与评审标准</w:t>
            </w:r>
          </w:p>
        </w:tc>
      </w:tr>
      <w:tr w14:paraId="6490A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  <w:jc w:val="center"/>
        </w:trPr>
        <w:tc>
          <w:tcPr>
            <w:tcW w:w="785" w:type="dxa"/>
            <w:noWrap w:val="0"/>
            <w:vAlign w:val="center"/>
          </w:tcPr>
          <w:p w14:paraId="4F7D9C39">
            <w:pPr>
              <w:pStyle w:val="14"/>
              <w:spacing w:before="187"/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highlight w:val="none"/>
              </w:rPr>
              <w:t>1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 w14:paraId="52078328">
            <w:pPr>
              <w:pStyle w:val="14"/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highlight w:val="none"/>
              </w:rPr>
              <w:t>评标方法</w:t>
            </w:r>
          </w:p>
        </w:tc>
        <w:tc>
          <w:tcPr>
            <w:tcW w:w="7075" w:type="dxa"/>
            <w:gridSpan w:val="2"/>
            <w:noWrap w:val="0"/>
            <w:vAlign w:val="top"/>
          </w:tcPr>
          <w:p w14:paraId="2C23D94B">
            <w:pPr>
              <w:pStyle w:val="14"/>
              <w:spacing w:before="89" w:line="276" w:lineRule="auto"/>
              <w:ind w:left="107" w:right="96" w:firstLine="420"/>
              <w:rPr>
                <w:rFonts w:hint="eastAsia" w:ascii="宋体" w:hAnsi="宋体" w:cs="宋体"/>
                <w:sz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highlight w:val="none"/>
              </w:rPr>
              <w:t>综合评分相等时，评标委员会依次按照以下优先顺序推荐中标候选人或确定中标人：</w:t>
            </w:r>
          </w:p>
          <w:p w14:paraId="397748E8">
            <w:pPr>
              <w:pStyle w:val="14"/>
              <w:numPr>
                <w:ilvl w:val="0"/>
                <w:numId w:val="1"/>
              </w:numPr>
              <w:spacing w:line="276" w:lineRule="auto"/>
              <w:ind w:firstLine="21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评标价低的投标人优先；</w:t>
            </w:r>
          </w:p>
          <w:p w14:paraId="4F1441A4">
            <w:pPr>
              <w:pStyle w:val="14"/>
              <w:numPr>
                <w:ilvl w:val="0"/>
                <w:numId w:val="1"/>
              </w:numPr>
              <w:spacing w:line="276" w:lineRule="auto"/>
              <w:ind w:firstLine="22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商务和技术得分较高的投标人优先</w:t>
            </w:r>
            <w:r>
              <w:rPr>
                <w:rFonts w:hint="eastAsia"/>
                <w:highlight w:val="none"/>
              </w:rPr>
              <w:t>；</w:t>
            </w:r>
          </w:p>
          <w:p w14:paraId="7C3A238D">
            <w:pPr>
              <w:pStyle w:val="14"/>
              <w:numPr>
                <w:ilvl w:val="0"/>
                <w:numId w:val="1"/>
              </w:numPr>
              <w:spacing w:line="276" w:lineRule="auto"/>
              <w:ind w:firstLine="210"/>
              <w:rPr>
                <w:rFonts w:hint="eastAsia" w:ascii="宋体" w:hAnsi="宋体" w:cs="宋体"/>
                <w:sz w:val="21"/>
                <w:highlight w:val="none"/>
              </w:rPr>
            </w:pPr>
            <w:r>
              <w:rPr>
                <w:rFonts w:hint="eastAsia" w:cs="宋体"/>
                <w:sz w:val="21"/>
                <w:szCs w:val="21"/>
                <w:highlight w:val="none"/>
              </w:rPr>
              <w:t>抽签。</w:t>
            </w:r>
          </w:p>
        </w:tc>
      </w:tr>
      <w:tr w14:paraId="501B1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2404" w:type="dxa"/>
            <w:gridSpan w:val="3"/>
            <w:noWrap w:val="0"/>
            <w:vAlign w:val="center"/>
          </w:tcPr>
          <w:p w14:paraId="0DBD7363">
            <w:pPr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条款号</w:t>
            </w:r>
          </w:p>
        </w:tc>
        <w:tc>
          <w:tcPr>
            <w:tcW w:w="2000" w:type="dxa"/>
            <w:noWrap w:val="0"/>
            <w:vAlign w:val="center"/>
          </w:tcPr>
          <w:p w14:paraId="09502AA0">
            <w:pPr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评审因素</w:t>
            </w:r>
          </w:p>
        </w:tc>
        <w:tc>
          <w:tcPr>
            <w:tcW w:w="5075" w:type="dxa"/>
            <w:noWrap w:val="0"/>
            <w:vAlign w:val="center"/>
          </w:tcPr>
          <w:p w14:paraId="0A3CB464"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评审标准</w:t>
            </w:r>
          </w:p>
        </w:tc>
      </w:tr>
      <w:tr w14:paraId="61DB3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785" w:type="dxa"/>
            <w:vMerge w:val="restart"/>
            <w:noWrap w:val="0"/>
            <w:vAlign w:val="center"/>
          </w:tcPr>
          <w:p w14:paraId="0FD56B65">
            <w:pPr>
              <w:ind w:left="0" w:leftChars="0" w:firstLine="0" w:firstLineChars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2.1.1</w:t>
            </w:r>
          </w:p>
          <w:p w14:paraId="658C0131">
            <w:pPr>
              <w:ind w:left="0" w:leftChars="0" w:firstLine="0" w:firstLineChars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2.1.3</w:t>
            </w:r>
          </w:p>
        </w:tc>
        <w:tc>
          <w:tcPr>
            <w:tcW w:w="843" w:type="dxa"/>
            <w:vMerge w:val="restart"/>
            <w:noWrap w:val="0"/>
            <w:vAlign w:val="center"/>
          </w:tcPr>
          <w:p w14:paraId="7A2195C7">
            <w:pPr>
              <w:ind w:left="0" w:leftChars="0" w:firstLine="0" w:firstLineChars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第</w:t>
            </w:r>
          </w:p>
          <w:p w14:paraId="1B5E5E7B">
            <w:pPr>
              <w:ind w:left="0" w:leftChars="0" w:firstLine="0" w:firstLineChars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一</w:t>
            </w:r>
          </w:p>
          <w:p w14:paraId="1D1CA4EF">
            <w:pPr>
              <w:ind w:left="0" w:leftChars="0" w:firstLine="0" w:firstLineChars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个</w:t>
            </w:r>
          </w:p>
          <w:p w14:paraId="5F96146E">
            <w:pPr>
              <w:ind w:left="0" w:leftChars="0" w:firstLine="0" w:firstLineChars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信</w:t>
            </w:r>
          </w:p>
          <w:p w14:paraId="07772121">
            <w:pPr>
              <w:ind w:left="0" w:leftChars="0" w:firstLine="0" w:firstLineChars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封</w:t>
            </w:r>
          </w:p>
          <w:p w14:paraId="336E9A28">
            <w:pPr>
              <w:ind w:left="0" w:leftChars="0" w:firstLine="0" w:firstLineChars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︵</w:t>
            </w:r>
          </w:p>
          <w:p w14:paraId="4C11D889">
            <w:pPr>
              <w:ind w:left="0" w:leftChars="0" w:firstLine="0" w:firstLineChars="0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商</w:t>
            </w:r>
          </w:p>
          <w:p w14:paraId="02F90072">
            <w:pPr>
              <w:ind w:left="0" w:leftChars="0" w:firstLine="0" w:firstLineChars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务</w:t>
            </w:r>
          </w:p>
          <w:p w14:paraId="77CC8010">
            <w:pPr>
              <w:ind w:left="0" w:leftChars="0" w:firstLine="0" w:firstLineChars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及</w:t>
            </w:r>
          </w:p>
          <w:p w14:paraId="1A47AE29">
            <w:pPr>
              <w:ind w:left="0" w:leftChars="0" w:firstLine="0" w:firstLineChars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技</w:t>
            </w:r>
          </w:p>
          <w:p w14:paraId="244EB83E">
            <w:pPr>
              <w:ind w:left="0" w:leftChars="0" w:firstLine="0" w:firstLineChars="0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术</w:t>
            </w:r>
          </w:p>
          <w:p w14:paraId="7FBF0B79">
            <w:pPr>
              <w:ind w:left="0" w:leftChars="0" w:firstLine="0" w:firstLineChars="0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文</w:t>
            </w:r>
          </w:p>
          <w:p w14:paraId="792397B6">
            <w:pPr>
              <w:ind w:left="0" w:leftChars="0" w:firstLine="0" w:firstLineChars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件</w:t>
            </w:r>
          </w:p>
          <w:p w14:paraId="2496FEEE">
            <w:pPr>
              <w:ind w:left="0" w:leftChars="0" w:firstLine="0" w:firstLineChars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︶</w:t>
            </w:r>
          </w:p>
        </w:tc>
        <w:tc>
          <w:tcPr>
            <w:tcW w:w="776" w:type="dxa"/>
            <w:vMerge w:val="restart"/>
            <w:noWrap w:val="0"/>
            <w:textDirection w:val="tbRlV"/>
            <w:vAlign w:val="center"/>
          </w:tcPr>
          <w:p w14:paraId="5D29F4FA">
            <w:pPr>
              <w:ind w:left="42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形式评审与响应性评审标准</w:t>
            </w:r>
          </w:p>
        </w:tc>
        <w:tc>
          <w:tcPr>
            <w:tcW w:w="2000" w:type="dxa"/>
            <w:noWrap w:val="0"/>
            <w:vAlign w:val="center"/>
          </w:tcPr>
          <w:p w14:paraId="11407350">
            <w:pPr>
              <w:ind w:left="0" w:leftChars="0" w:firstLine="0" w:firstLineChars="0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投标</w:t>
            </w:r>
            <w:r>
              <w:rPr>
                <w:rFonts w:hint="eastAsia"/>
                <w:sz w:val="21"/>
                <w:highlight w:val="none"/>
              </w:rPr>
              <w:t>函填写</w:t>
            </w:r>
          </w:p>
        </w:tc>
        <w:tc>
          <w:tcPr>
            <w:tcW w:w="5075" w:type="dxa"/>
            <w:noWrap w:val="0"/>
            <w:vAlign w:val="center"/>
          </w:tcPr>
          <w:p w14:paraId="5CAE0DD2">
            <w:pPr>
              <w:pStyle w:val="14"/>
              <w:adjustRightInd w:val="0"/>
              <w:snapToGrid w:val="0"/>
              <w:spacing w:before="72" w:beforeLines="30" w:after="72" w:afterLines="30"/>
              <w:ind w:left="72" w:leftChars="30" w:right="72" w:rightChars="30"/>
              <w:rPr>
                <w:rFonts w:hint="eastAsia"/>
                <w:sz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2"/>
                <w:highlight w:val="none"/>
                <w:lang w:val="zh-CN" w:bidi="zh-CN"/>
              </w:rPr>
              <w:t>投标函按招标文件规定填报了项目名称、补遗书编号（如有）、工期、工程质量要求及安全目标，投标函附录的所有数据均符合招标文件规定</w:t>
            </w:r>
          </w:p>
        </w:tc>
      </w:tr>
      <w:tr w14:paraId="0454B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 w14:paraId="1C8095E1"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 w14:paraId="58AC668A"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776" w:type="dxa"/>
            <w:vMerge w:val="continue"/>
            <w:noWrap w:val="0"/>
            <w:vAlign w:val="center"/>
          </w:tcPr>
          <w:p w14:paraId="5FFAC681"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42809614">
            <w:pPr>
              <w:ind w:left="0" w:leftChars="0" w:firstLine="0" w:firstLineChars="0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文件</w:t>
            </w:r>
            <w:r>
              <w:rPr>
                <w:rFonts w:hint="eastAsia"/>
                <w:sz w:val="21"/>
                <w:highlight w:val="none"/>
              </w:rPr>
              <w:t>填写及组成</w:t>
            </w:r>
          </w:p>
        </w:tc>
        <w:tc>
          <w:tcPr>
            <w:tcW w:w="5075" w:type="dxa"/>
            <w:noWrap w:val="0"/>
            <w:vAlign w:val="center"/>
          </w:tcPr>
          <w:p w14:paraId="79612CEF"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2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2"/>
                <w:highlight w:val="none"/>
                <w:lang w:val="zh-CN" w:bidi="zh-CN"/>
              </w:rPr>
              <w:t>投标文件组成齐全完整，内容均按规定填写。</w:t>
            </w:r>
          </w:p>
        </w:tc>
      </w:tr>
      <w:tr w14:paraId="26C3F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 w14:paraId="131A69B3"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 w14:paraId="72DF9D7D"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776" w:type="dxa"/>
            <w:vMerge w:val="continue"/>
            <w:noWrap w:val="0"/>
            <w:vAlign w:val="center"/>
          </w:tcPr>
          <w:p w14:paraId="544F7288"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5B7FB7A5">
            <w:pPr>
              <w:ind w:left="0" w:leftChars="0" w:firstLine="0" w:firstLineChars="0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文件</w:t>
            </w:r>
            <w:r>
              <w:rPr>
                <w:sz w:val="21"/>
                <w:highlight w:val="none"/>
              </w:rPr>
              <w:t>签字盖章</w:t>
            </w:r>
          </w:p>
        </w:tc>
        <w:tc>
          <w:tcPr>
            <w:tcW w:w="5075" w:type="dxa"/>
            <w:noWrap w:val="0"/>
            <w:vAlign w:val="center"/>
          </w:tcPr>
          <w:p w14:paraId="2E8F8AF1"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2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符合第二章“投标人须知”第3.7.3项规定</w:t>
            </w:r>
          </w:p>
        </w:tc>
      </w:tr>
      <w:tr w14:paraId="441A2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 w14:paraId="11ABA124"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 w14:paraId="65C1A8AF"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776" w:type="dxa"/>
            <w:vMerge w:val="continue"/>
            <w:noWrap w:val="0"/>
            <w:vAlign w:val="center"/>
          </w:tcPr>
          <w:p w14:paraId="1C2255D7"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3353AC05">
            <w:pPr>
              <w:ind w:left="0" w:leftChars="0" w:firstLine="0" w:firstLineChars="0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投标保证金</w:t>
            </w:r>
          </w:p>
        </w:tc>
        <w:tc>
          <w:tcPr>
            <w:tcW w:w="5075" w:type="dxa"/>
            <w:noWrap w:val="0"/>
            <w:vAlign w:val="center"/>
          </w:tcPr>
          <w:p w14:paraId="6A5D1002"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2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符合第二章“投标人须知”第3.4.1项规定</w:t>
            </w:r>
          </w:p>
        </w:tc>
      </w:tr>
      <w:tr w14:paraId="451F4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 w14:paraId="175A81EE"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 w14:paraId="7698A751"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776" w:type="dxa"/>
            <w:vMerge w:val="continue"/>
            <w:noWrap w:val="0"/>
            <w:vAlign w:val="center"/>
          </w:tcPr>
          <w:p w14:paraId="16D52B81"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286F49C3">
            <w:pPr>
              <w:ind w:left="0" w:leftChars="0" w:firstLine="0" w:firstLineChars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投标文件备选方案</w:t>
            </w:r>
          </w:p>
        </w:tc>
        <w:tc>
          <w:tcPr>
            <w:tcW w:w="5075" w:type="dxa"/>
            <w:noWrap w:val="0"/>
            <w:vAlign w:val="center"/>
          </w:tcPr>
          <w:p w14:paraId="2ADEAE77"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2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同一投标人同一标段未提交两个以上不同的投标文件</w:t>
            </w:r>
          </w:p>
        </w:tc>
      </w:tr>
      <w:tr w14:paraId="2860B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 w14:paraId="144EEBF3"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 w14:paraId="6DFA878B"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776" w:type="dxa"/>
            <w:vMerge w:val="continue"/>
            <w:noWrap w:val="0"/>
            <w:vAlign w:val="center"/>
          </w:tcPr>
          <w:p w14:paraId="71009BBD"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35A530B3">
            <w:pPr>
              <w:ind w:left="0" w:leftChars="0" w:firstLine="0" w:firstLineChars="0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投标报价</w:t>
            </w:r>
          </w:p>
        </w:tc>
        <w:tc>
          <w:tcPr>
            <w:tcW w:w="5075" w:type="dxa"/>
            <w:noWrap w:val="0"/>
            <w:vAlign w:val="center"/>
          </w:tcPr>
          <w:p w14:paraId="38672FA2"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2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未出现有关投标报价的内容</w:t>
            </w:r>
          </w:p>
        </w:tc>
      </w:tr>
      <w:tr w14:paraId="2570F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 w14:paraId="594C7AB2"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 w14:paraId="5B4F48F6"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776" w:type="dxa"/>
            <w:vMerge w:val="continue"/>
            <w:noWrap w:val="0"/>
            <w:vAlign w:val="center"/>
          </w:tcPr>
          <w:p w14:paraId="54CF40A8"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7F1B44F5">
            <w:pPr>
              <w:ind w:left="0" w:leftChars="0" w:firstLine="0" w:firstLineChars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计划工期</w:t>
            </w:r>
          </w:p>
        </w:tc>
        <w:tc>
          <w:tcPr>
            <w:tcW w:w="5075" w:type="dxa"/>
            <w:noWrap w:val="0"/>
            <w:vAlign w:val="center"/>
          </w:tcPr>
          <w:p w14:paraId="4311F7C2"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2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符合第二章“投标人须知”第 1.3.2 项规定</w:t>
            </w:r>
          </w:p>
        </w:tc>
      </w:tr>
      <w:tr w14:paraId="362A5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 w14:paraId="29235272"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 w14:paraId="3E202592"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776" w:type="dxa"/>
            <w:vMerge w:val="continue"/>
            <w:noWrap w:val="0"/>
            <w:vAlign w:val="center"/>
          </w:tcPr>
          <w:p w14:paraId="3791EB9D"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6D8922B4">
            <w:pPr>
              <w:ind w:left="0" w:leftChars="0" w:firstLine="0" w:firstLineChars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质量</w:t>
            </w:r>
            <w:r>
              <w:rPr>
                <w:rFonts w:hint="eastAsia"/>
                <w:sz w:val="21"/>
                <w:highlight w:val="none"/>
              </w:rPr>
              <w:t>要求</w:t>
            </w:r>
          </w:p>
        </w:tc>
        <w:tc>
          <w:tcPr>
            <w:tcW w:w="5075" w:type="dxa"/>
            <w:noWrap w:val="0"/>
            <w:vAlign w:val="center"/>
          </w:tcPr>
          <w:p w14:paraId="37994AB6"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2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符合第二章“投标人须知”第 1.3.3 项规定</w:t>
            </w:r>
          </w:p>
        </w:tc>
      </w:tr>
      <w:tr w14:paraId="7C9AE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 w14:paraId="4314E543"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 w14:paraId="3C037B4F"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776" w:type="dxa"/>
            <w:vMerge w:val="continue"/>
            <w:noWrap w:val="0"/>
            <w:vAlign w:val="center"/>
          </w:tcPr>
          <w:p w14:paraId="66E48204"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52B449A4">
            <w:pPr>
              <w:ind w:left="0" w:leftChars="0" w:firstLine="0" w:firstLineChars="0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安全目标</w:t>
            </w:r>
          </w:p>
        </w:tc>
        <w:tc>
          <w:tcPr>
            <w:tcW w:w="5075" w:type="dxa"/>
            <w:noWrap w:val="0"/>
            <w:vAlign w:val="center"/>
          </w:tcPr>
          <w:p w14:paraId="04F91423"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2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符合第二章“投标人须知”第 1.3.4 项规定</w:t>
            </w:r>
          </w:p>
        </w:tc>
      </w:tr>
      <w:tr w14:paraId="7D56B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 w14:paraId="5CC19495"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 w14:paraId="764BE74E"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776" w:type="dxa"/>
            <w:vMerge w:val="continue"/>
            <w:noWrap w:val="0"/>
            <w:vAlign w:val="center"/>
          </w:tcPr>
          <w:p w14:paraId="1CA35675"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4664B505">
            <w:pPr>
              <w:ind w:left="0" w:leftChars="0" w:firstLine="0" w:firstLineChars="0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实质性响应</w:t>
            </w:r>
          </w:p>
        </w:tc>
        <w:tc>
          <w:tcPr>
            <w:tcW w:w="5075" w:type="dxa"/>
            <w:noWrap w:val="0"/>
            <w:vAlign w:val="center"/>
          </w:tcPr>
          <w:p w14:paraId="2AAEB7B5"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2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对招标文件的实质性要求和条件作出响应</w:t>
            </w:r>
          </w:p>
        </w:tc>
      </w:tr>
      <w:tr w14:paraId="5E2C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2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 w14:paraId="36DEF491"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 w14:paraId="0D43D1AA"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776" w:type="dxa"/>
            <w:vMerge w:val="continue"/>
            <w:noWrap w:val="0"/>
            <w:vAlign w:val="center"/>
          </w:tcPr>
          <w:p w14:paraId="69E1E2C7"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03CA1FB8">
            <w:pPr>
              <w:ind w:left="0" w:leftChars="0" w:firstLine="0" w:firstLineChars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权利义务符合招标文件规定</w:t>
            </w:r>
          </w:p>
        </w:tc>
        <w:tc>
          <w:tcPr>
            <w:tcW w:w="5075" w:type="dxa"/>
            <w:noWrap w:val="0"/>
            <w:vAlign w:val="center"/>
          </w:tcPr>
          <w:p w14:paraId="2B4525AE">
            <w:pPr>
              <w:adjustRightInd w:val="0"/>
              <w:snapToGrid w:val="0"/>
              <w:spacing w:before="72" w:beforeLines="30" w:after="72" w:afterLines="30"/>
              <w:ind w:left="72" w:leftChars="30" w:right="72" w:rightChars="30" w:firstLine="210" w:firstLineChars="10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a.投标人应接受招标文件规定的风险划分原则，未提出新的风险划分办法；</w:t>
            </w:r>
          </w:p>
          <w:p w14:paraId="0805A39D">
            <w:pPr>
              <w:adjustRightInd w:val="0"/>
              <w:snapToGrid w:val="0"/>
              <w:spacing w:before="72" w:beforeLines="30" w:after="72" w:afterLines="30"/>
              <w:ind w:left="72" w:leftChars="30" w:right="72" w:rightChars="30" w:firstLine="210" w:firstLineChars="10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b.投标人未增加委托人的责任范围，或减少投标人义务；</w:t>
            </w:r>
          </w:p>
          <w:p w14:paraId="184C9CE5">
            <w:pPr>
              <w:adjustRightInd w:val="0"/>
              <w:snapToGrid w:val="0"/>
              <w:spacing w:before="72" w:beforeLines="30" w:after="72" w:afterLines="30"/>
              <w:ind w:left="72" w:leftChars="30" w:right="72" w:rightChars="30" w:firstLine="210" w:firstLineChars="10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c.投标人未提出不同的支付办法；</w:t>
            </w:r>
          </w:p>
          <w:p w14:paraId="3CFA16C7">
            <w:pPr>
              <w:adjustRightInd w:val="0"/>
              <w:snapToGrid w:val="0"/>
              <w:spacing w:before="72" w:beforeLines="30" w:after="72" w:afterLines="30"/>
              <w:ind w:left="72" w:leftChars="30" w:right="72" w:rightChars="30" w:firstLine="210" w:firstLineChars="10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d.投标人对合同纠纷、事故处理办法未提出异议；</w:t>
            </w:r>
          </w:p>
          <w:p w14:paraId="626FE64F">
            <w:pPr>
              <w:adjustRightInd w:val="0"/>
              <w:snapToGrid w:val="0"/>
              <w:spacing w:before="72" w:beforeLines="30" w:after="72" w:afterLines="30"/>
              <w:ind w:left="72" w:leftChars="30" w:right="72" w:rightChars="30" w:firstLine="210" w:firstLineChars="10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e.投标人在投标活动中无欺诈行为；</w:t>
            </w:r>
          </w:p>
          <w:p w14:paraId="659447DF">
            <w:pPr>
              <w:adjustRightInd w:val="0"/>
              <w:snapToGrid w:val="0"/>
              <w:spacing w:before="72" w:beforeLines="30" w:after="72" w:afterLines="30"/>
              <w:ind w:left="72" w:leftChars="30" w:right="72" w:rightChars="30" w:firstLine="210" w:firstLineChars="100"/>
              <w:rPr>
                <w:rFonts w:hint="eastAsia" w:ascii="宋体" w:hAnsi="宋体" w:cs="宋体"/>
                <w:sz w:val="21"/>
                <w:szCs w:val="22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f.投标人未对合同条款有重要保留。</w:t>
            </w:r>
          </w:p>
        </w:tc>
      </w:tr>
    </w:tbl>
    <w:p w14:paraId="03212F04">
      <w:pPr>
        <w:rPr>
          <w:rFonts w:hint="default"/>
          <w:color w:val="auto"/>
          <w:highlight w:val="none"/>
        </w:rPr>
      </w:pPr>
      <w:r>
        <w:rPr>
          <w:rFonts w:hint="default"/>
          <w:color w:val="auto"/>
          <w:highlight w:val="none"/>
        </w:rPr>
        <w:br w:type="page"/>
      </w:r>
    </w:p>
    <w:tbl>
      <w:tblPr>
        <w:tblStyle w:val="11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630"/>
        <w:gridCol w:w="646"/>
        <w:gridCol w:w="1992"/>
        <w:gridCol w:w="4917"/>
      </w:tblGrid>
      <w:tr w14:paraId="258E3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294" w:type="dxa"/>
            <w:vMerge w:val="restart"/>
            <w:noWrap w:val="0"/>
            <w:vAlign w:val="center"/>
          </w:tcPr>
          <w:p w14:paraId="1564A566">
            <w:pPr>
              <w:ind w:left="0" w:leftChars="0" w:firstLine="0" w:firstLineChars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2.1.</w:t>
            </w:r>
            <w:r>
              <w:rPr>
                <w:rFonts w:hint="eastAsia"/>
                <w:sz w:val="21"/>
                <w:highlight w:val="none"/>
              </w:rPr>
              <w:t>1</w:t>
            </w:r>
          </w:p>
          <w:p w14:paraId="0544C866">
            <w:pPr>
              <w:ind w:left="0" w:leftChars="0" w:firstLine="0" w:firstLineChars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2.1.3</w:t>
            </w:r>
          </w:p>
        </w:tc>
        <w:tc>
          <w:tcPr>
            <w:tcW w:w="630" w:type="dxa"/>
            <w:vMerge w:val="restart"/>
            <w:noWrap w:val="0"/>
            <w:vAlign w:val="center"/>
          </w:tcPr>
          <w:p w14:paraId="2A2ADBC1">
            <w:pPr>
              <w:ind w:left="0" w:leftChars="0" w:firstLine="0" w:firstLineChars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第</w:t>
            </w:r>
          </w:p>
          <w:p w14:paraId="4DC777DA">
            <w:pPr>
              <w:ind w:left="0" w:leftChars="0" w:firstLine="0" w:firstLineChars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二</w:t>
            </w:r>
          </w:p>
          <w:p w14:paraId="778DDF8C">
            <w:pPr>
              <w:ind w:left="0" w:leftChars="0" w:firstLine="0" w:firstLineChars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个</w:t>
            </w:r>
          </w:p>
          <w:p w14:paraId="784BDA93">
            <w:pPr>
              <w:ind w:left="0" w:leftChars="0" w:firstLine="0" w:firstLineChars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信</w:t>
            </w:r>
          </w:p>
          <w:p w14:paraId="18E9A5BD">
            <w:pPr>
              <w:ind w:left="0" w:leftChars="0" w:firstLine="0" w:firstLineChars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封</w:t>
            </w:r>
          </w:p>
          <w:p w14:paraId="5D3CCAAD">
            <w:pPr>
              <w:ind w:left="0" w:leftChars="0" w:firstLine="0" w:firstLineChars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︵</w:t>
            </w:r>
          </w:p>
          <w:p w14:paraId="00E036FF">
            <w:pPr>
              <w:ind w:left="0" w:leftChars="0" w:firstLine="0" w:firstLineChars="0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报</w:t>
            </w:r>
          </w:p>
          <w:p w14:paraId="15EA6BF0">
            <w:pPr>
              <w:ind w:left="0" w:leftChars="0" w:firstLine="0" w:firstLineChars="0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价</w:t>
            </w:r>
          </w:p>
          <w:p w14:paraId="245707E3">
            <w:pPr>
              <w:ind w:left="0" w:leftChars="0" w:firstLine="0" w:firstLineChars="0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文</w:t>
            </w:r>
          </w:p>
          <w:p w14:paraId="320C1421">
            <w:pPr>
              <w:ind w:left="0" w:leftChars="0" w:firstLine="0" w:firstLineChars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件</w:t>
            </w:r>
          </w:p>
          <w:p w14:paraId="720E400E">
            <w:pPr>
              <w:ind w:left="0" w:leftChars="0" w:firstLine="0" w:firstLineChars="0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︶</w:t>
            </w:r>
          </w:p>
        </w:tc>
        <w:tc>
          <w:tcPr>
            <w:tcW w:w="646" w:type="dxa"/>
            <w:vMerge w:val="restart"/>
            <w:noWrap w:val="0"/>
            <w:textDirection w:val="tbRlV"/>
            <w:vAlign w:val="center"/>
          </w:tcPr>
          <w:p w14:paraId="5B564A38">
            <w:pPr>
              <w:ind w:left="420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形式评审与响应性评审标准</w:t>
            </w:r>
          </w:p>
        </w:tc>
        <w:tc>
          <w:tcPr>
            <w:tcW w:w="1992" w:type="dxa"/>
            <w:noWrap w:val="0"/>
            <w:vAlign w:val="center"/>
          </w:tcPr>
          <w:p w14:paraId="2577DEAF">
            <w:pPr>
              <w:ind w:left="0" w:leftChars="0" w:firstLine="0" w:firstLineChars="0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投标</w:t>
            </w:r>
            <w:r>
              <w:rPr>
                <w:rFonts w:hint="eastAsia"/>
                <w:sz w:val="21"/>
                <w:highlight w:val="none"/>
              </w:rPr>
              <w:t>函填写</w:t>
            </w:r>
          </w:p>
        </w:tc>
        <w:tc>
          <w:tcPr>
            <w:tcW w:w="4917" w:type="dxa"/>
            <w:noWrap w:val="0"/>
            <w:vAlign w:val="center"/>
          </w:tcPr>
          <w:p w14:paraId="2A70FA4D"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按招标文件规定填报了项目名称、标段号、补遗书编号（如有）、投标报价</w:t>
            </w:r>
          </w:p>
        </w:tc>
      </w:tr>
      <w:tr w14:paraId="2F209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294" w:type="dxa"/>
            <w:vMerge w:val="continue"/>
            <w:noWrap w:val="0"/>
            <w:vAlign w:val="center"/>
          </w:tcPr>
          <w:p w14:paraId="58460B55">
            <w:pPr>
              <w:ind w:left="420"/>
              <w:jc w:val="center"/>
              <w:rPr>
                <w:sz w:val="21"/>
                <w:highlight w:val="none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 w14:paraId="6D78CC6B">
            <w:pPr>
              <w:ind w:left="420"/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646" w:type="dxa"/>
            <w:vMerge w:val="continue"/>
            <w:noWrap w:val="0"/>
            <w:textDirection w:val="tbRlV"/>
            <w:vAlign w:val="center"/>
          </w:tcPr>
          <w:p w14:paraId="414487C5">
            <w:pPr>
              <w:ind w:left="420"/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307DC9FE">
            <w:pPr>
              <w:ind w:left="0" w:leftChars="0" w:firstLine="0" w:firstLineChars="0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已标价</w:t>
            </w:r>
            <w:r>
              <w:rPr>
                <w:rFonts w:hint="eastAsia"/>
                <w:sz w:val="21"/>
                <w:szCs w:val="21"/>
                <w:highlight w:val="none"/>
              </w:rPr>
              <w:t>报价清单</w:t>
            </w:r>
            <w:r>
              <w:rPr>
                <w:rFonts w:hint="eastAsia"/>
                <w:sz w:val="21"/>
                <w:highlight w:val="none"/>
              </w:rPr>
              <w:t>文字说明</w:t>
            </w:r>
          </w:p>
        </w:tc>
        <w:tc>
          <w:tcPr>
            <w:tcW w:w="4917" w:type="dxa"/>
            <w:noWrap w:val="0"/>
            <w:vAlign w:val="center"/>
          </w:tcPr>
          <w:p w14:paraId="005FA445"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已标价报价清单文字说明与招标文件规定一致，未进行修改或删除</w:t>
            </w:r>
          </w:p>
        </w:tc>
      </w:tr>
      <w:tr w14:paraId="63EC9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1294" w:type="dxa"/>
            <w:vMerge w:val="continue"/>
            <w:noWrap w:val="0"/>
            <w:vAlign w:val="center"/>
          </w:tcPr>
          <w:p w14:paraId="0A1B6766">
            <w:pPr>
              <w:ind w:left="420"/>
              <w:jc w:val="center"/>
              <w:rPr>
                <w:sz w:val="21"/>
                <w:highlight w:val="none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 w14:paraId="31A015A6"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 w14:paraId="43078B6A"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1CD45541">
            <w:pPr>
              <w:ind w:left="0" w:leftChars="0" w:firstLine="0" w:firstLineChars="0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文件</w:t>
            </w:r>
            <w:r>
              <w:rPr>
                <w:rFonts w:hint="eastAsia"/>
                <w:sz w:val="21"/>
                <w:highlight w:val="none"/>
              </w:rPr>
              <w:t>填写及组成</w:t>
            </w:r>
          </w:p>
        </w:tc>
        <w:tc>
          <w:tcPr>
            <w:tcW w:w="4917" w:type="dxa"/>
            <w:noWrap w:val="0"/>
            <w:vAlign w:val="center"/>
          </w:tcPr>
          <w:p w14:paraId="2F84E103"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组成齐全，没有缺项或缺页，内容均按招标文件规定填写</w:t>
            </w:r>
          </w:p>
        </w:tc>
      </w:tr>
      <w:tr w14:paraId="43514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94" w:type="dxa"/>
            <w:vMerge w:val="continue"/>
            <w:noWrap w:val="0"/>
            <w:vAlign w:val="center"/>
          </w:tcPr>
          <w:p w14:paraId="5C87D1DB">
            <w:pPr>
              <w:ind w:left="420"/>
              <w:jc w:val="center"/>
              <w:rPr>
                <w:sz w:val="21"/>
                <w:highlight w:val="none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 w14:paraId="40C7845D"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 w14:paraId="17C9A65F"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7F93C1CB">
            <w:pPr>
              <w:ind w:left="0" w:leftChars="0" w:firstLine="0" w:firstLineChars="0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文件签字盖章</w:t>
            </w:r>
          </w:p>
        </w:tc>
        <w:tc>
          <w:tcPr>
            <w:tcW w:w="4917" w:type="dxa"/>
            <w:noWrap w:val="0"/>
            <w:vAlign w:val="center"/>
          </w:tcPr>
          <w:p w14:paraId="05EEB3FC"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符合第二章“投标人须知”第3.7.3项规定</w:t>
            </w:r>
          </w:p>
        </w:tc>
      </w:tr>
      <w:tr w14:paraId="09300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294" w:type="dxa"/>
            <w:vMerge w:val="continue"/>
            <w:noWrap w:val="0"/>
            <w:vAlign w:val="center"/>
          </w:tcPr>
          <w:p w14:paraId="12460FA5">
            <w:pPr>
              <w:ind w:left="420"/>
              <w:jc w:val="center"/>
              <w:rPr>
                <w:sz w:val="21"/>
                <w:highlight w:val="none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 w14:paraId="1613DBA6"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 w14:paraId="29A0A7FA"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3DE9FB60">
            <w:pPr>
              <w:ind w:left="0" w:leftChars="0" w:firstLine="0" w:firstLineChars="0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投标报价</w:t>
            </w:r>
          </w:p>
        </w:tc>
        <w:tc>
          <w:tcPr>
            <w:tcW w:w="4917" w:type="dxa"/>
            <w:noWrap w:val="0"/>
            <w:vAlign w:val="center"/>
          </w:tcPr>
          <w:p w14:paraId="259088F8"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未超过招标人公布的最高投标限价，且每个路段未超过其路段的投标控制价上限。每个路段的投标报价之和应与投标函中的投标报价相同。</w:t>
            </w:r>
          </w:p>
        </w:tc>
      </w:tr>
      <w:tr w14:paraId="15528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294" w:type="dxa"/>
            <w:vMerge w:val="continue"/>
            <w:noWrap w:val="0"/>
            <w:vAlign w:val="center"/>
          </w:tcPr>
          <w:p w14:paraId="72FF2FB0">
            <w:pPr>
              <w:ind w:left="420"/>
              <w:jc w:val="center"/>
              <w:rPr>
                <w:sz w:val="21"/>
                <w:highlight w:val="none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 w14:paraId="623B3C3E"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 w14:paraId="798BF3FF"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465D58E4">
            <w:pPr>
              <w:ind w:left="0" w:leftChars="0" w:firstLine="0" w:firstLineChars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投标报价唯一性</w:t>
            </w:r>
          </w:p>
        </w:tc>
        <w:tc>
          <w:tcPr>
            <w:tcW w:w="4917" w:type="dxa"/>
            <w:noWrap w:val="0"/>
            <w:vAlign w:val="center"/>
          </w:tcPr>
          <w:p w14:paraId="2EF05C16"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同一投标人同一标段未提交两个以上不同的投标报价</w:t>
            </w:r>
          </w:p>
        </w:tc>
      </w:tr>
      <w:tr w14:paraId="07B3B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  <w:jc w:val="center"/>
        </w:trPr>
        <w:tc>
          <w:tcPr>
            <w:tcW w:w="1294" w:type="dxa"/>
            <w:vMerge w:val="continue"/>
            <w:noWrap w:val="0"/>
            <w:vAlign w:val="center"/>
          </w:tcPr>
          <w:p w14:paraId="1370F1A8">
            <w:pPr>
              <w:ind w:left="420"/>
              <w:jc w:val="center"/>
              <w:rPr>
                <w:sz w:val="21"/>
                <w:highlight w:val="none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 w14:paraId="47987352"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 w14:paraId="2B2673F3">
            <w:pPr>
              <w:ind w:left="420"/>
              <w:rPr>
                <w:sz w:val="21"/>
                <w:highlight w:val="none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7C01B432">
            <w:pPr>
              <w:ind w:left="0" w:leftChars="0" w:firstLine="0" w:firstLineChars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工程量固化清单</w:t>
            </w:r>
          </w:p>
        </w:tc>
        <w:tc>
          <w:tcPr>
            <w:tcW w:w="4917" w:type="dxa"/>
            <w:noWrap w:val="0"/>
            <w:vAlign w:val="center"/>
          </w:tcPr>
          <w:p w14:paraId="5ACC41E0"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投标人若填写工程量固化清单，填写完毕的工程量固化清单未对工程量固化清单电子文件中的数据、格式和运算定义进行修改；工程量固化清单中的投标报价和投标函大写金额报价一致</w:t>
            </w:r>
          </w:p>
        </w:tc>
      </w:tr>
      <w:tr w14:paraId="3D812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  <w:jc w:val="center"/>
        </w:trPr>
        <w:tc>
          <w:tcPr>
            <w:tcW w:w="1294" w:type="dxa"/>
            <w:vMerge w:val="restart"/>
            <w:noWrap w:val="0"/>
            <w:vAlign w:val="center"/>
          </w:tcPr>
          <w:p w14:paraId="2E1651FC">
            <w:pPr>
              <w:ind w:left="0" w:leftChars="0" w:firstLine="0" w:firstLineChars="0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2.1.2</w:t>
            </w:r>
          </w:p>
        </w:tc>
        <w:tc>
          <w:tcPr>
            <w:tcW w:w="630" w:type="dxa"/>
            <w:vMerge w:val="restart"/>
            <w:noWrap w:val="0"/>
            <w:vAlign w:val="center"/>
          </w:tcPr>
          <w:p w14:paraId="5D9195A3">
            <w:pPr>
              <w:ind w:left="0" w:leftChars="0" w:firstLine="0" w:firstLineChars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第</w:t>
            </w:r>
          </w:p>
          <w:p w14:paraId="1A8837B6">
            <w:pPr>
              <w:ind w:left="0" w:leftChars="0" w:firstLine="0" w:firstLineChars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一</w:t>
            </w:r>
          </w:p>
          <w:p w14:paraId="4D99B085">
            <w:pPr>
              <w:ind w:left="0" w:leftChars="0" w:firstLine="0" w:firstLineChars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个</w:t>
            </w:r>
          </w:p>
          <w:p w14:paraId="698ED80D">
            <w:pPr>
              <w:ind w:left="0" w:leftChars="0" w:firstLine="0" w:firstLineChars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信</w:t>
            </w:r>
          </w:p>
          <w:p w14:paraId="5F7110E7">
            <w:pPr>
              <w:ind w:left="0" w:leftChars="0" w:firstLine="0" w:firstLineChars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封</w:t>
            </w:r>
          </w:p>
          <w:p w14:paraId="022208D5">
            <w:pPr>
              <w:ind w:left="0" w:leftChars="0" w:firstLine="0" w:firstLineChars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︵</w:t>
            </w:r>
          </w:p>
          <w:p w14:paraId="3A32320C">
            <w:pPr>
              <w:ind w:left="0" w:leftChars="0" w:firstLine="0" w:firstLineChars="0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商</w:t>
            </w:r>
          </w:p>
          <w:p w14:paraId="6EE78F6E">
            <w:pPr>
              <w:ind w:left="0" w:leftChars="0" w:firstLine="0" w:firstLineChars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务</w:t>
            </w:r>
          </w:p>
          <w:p w14:paraId="5D324027">
            <w:pPr>
              <w:ind w:left="0" w:leftChars="0" w:firstLine="0" w:firstLineChars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及</w:t>
            </w:r>
          </w:p>
          <w:p w14:paraId="5E00BDB4">
            <w:pPr>
              <w:ind w:left="0" w:leftChars="0" w:firstLine="0" w:firstLineChars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技</w:t>
            </w:r>
          </w:p>
          <w:p w14:paraId="040A5586">
            <w:pPr>
              <w:ind w:left="0" w:leftChars="0" w:firstLine="0" w:firstLineChars="0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术</w:t>
            </w:r>
          </w:p>
          <w:p w14:paraId="2D5483DF">
            <w:pPr>
              <w:ind w:left="0" w:leftChars="0" w:firstLine="0" w:firstLineChars="0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文</w:t>
            </w:r>
          </w:p>
          <w:p w14:paraId="67B99E9F">
            <w:pPr>
              <w:ind w:left="0" w:leftChars="0" w:firstLine="0" w:firstLineChars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件</w:t>
            </w:r>
          </w:p>
          <w:p w14:paraId="7450E03E">
            <w:pPr>
              <w:ind w:left="0" w:leftChars="0" w:firstLine="0" w:firstLineChars="0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︶</w:t>
            </w:r>
          </w:p>
        </w:tc>
        <w:tc>
          <w:tcPr>
            <w:tcW w:w="646" w:type="dxa"/>
            <w:vMerge w:val="restart"/>
            <w:noWrap w:val="0"/>
            <w:vAlign w:val="center"/>
          </w:tcPr>
          <w:p w14:paraId="2D78E04A">
            <w:pPr>
              <w:ind w:left="0" w:leftChars="0" w:firstLine="0" w:firstLineChars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资</w:t>
            </w:r>
          </w:p>
          <w:p w14:paraId="05C49BD6">
            <w:pPr>
              <w:ind w:left="0" w:leftChars="0" w:firstLine="0" w:firstLineChars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格</w:t>
            </w:r>
          </w:p>
          <w:p w14:paraId="7487FC19">
            <w:pPr>
              <w:ind w:left="0" w:leftChars="0" w:firstLine="0" w:firstLineChars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评</w:t>
            </w:r>
          </w:p>
          <w:p w14:paraId="0120612D">
            <w:pPr>
              <w:ind w:left="0" w:leftChars="0" w:firstLine="0" w:firstLineChars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审</w:t>
            </w:r>
          </w:p>
          <w:p w14:paraId="1E86D6C3">
            <w:pPr>
              <w:ind w:left="0" w:leftChars="0" w:firstLine="0" w:firstLineChars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标</w:t>
            </w:r>
          </w:p>
          <w:p w14:paraId="41AA15B3">
            <w:pPr>
              <w:ind w:left="0" w:leftChars="0" w:firstLine="0" w:firstLineChars="0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准</w:t>
            </w:r>
          </w:p>
        </w:tc>
        <w:tc>
          <w:tcPr>
            <w:tcW w:w="1992" w:type="dxa"/>
            <w:noWrap w:val="0"/>
            <w:vAlign w:val="center"/>
          </w:tcPr>
          <w:p w14:paraId="62239DB2">
            <w:pPr>
              <w:ind w:left="0" w:leftChars="0" w:firstLine="0" w:firstLineChars="0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营业执照、资质证书和基本账户开户许可证</w:t>
            </w:r>
          </w:p>
        </w:tc>
        <w:tc>
          <w:tcPr>
            <w:tcW w:w="4917" w:type="dxa"/>
            <w:noWrap w:val="0"/>
            <w:vAlign w:val="center"/>
          </w:tcPr>
          <w:p w14:paraId="486123A6"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需具备有效的营业执照（或统一社会信用代码证书）、组织机构代码证、资质证书、安全生产许可证和基本账户开户许可证；</w:t>
            </w:r>
          </w:p>
        </w:tc>
      </w:tr>
      <w:tr w14:paraId="64A0E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94" w:type="dxa"/>
            <w:vMerge w:val="continue"/>
            <w:noWrap w:val="0"/>
            <w:vAlign w:val="center"/>
          </w:tcPr>
          <w:p w14:paraId="59AF98C6">
            <w:pPr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 w14:paraId="380FF86B">
            <w:pPr>
              <w:jc w:val="center"/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 w14:paraId="713842CF">
            <w:pPr>
              <w:jc w:val="center"/>
              <w:rPr>
                <w:sz w:val="21"/>
                <w:highlight w:val="none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4586942B">
            <w:pPr>
              <w:ind w:left="0" w:leftChars="0" w:firstLine="0" w:firstLineChars="0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资质等级</w:t>
            </w:r>
          </w:p>
        </w:tc>
        <w:tc>
          <w:tcPr>
            <w:tcW w:w="4917" w:type="dxa"/>
            <w:noWrap w:val="0"/>
            <w:vAlign w:val="center"/>
          </w:tcPr>
          <w:p w14:paraId="6277DE99"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符合第二章“投标人须知”第 1.4.1 项“资质要求”的规定</w:t>
            </w:r>
          </w:p>
        </w:tc>
      </w:tr>
      <w:tr w14:paraId="2743F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94" w:type="dxa"/>
            <w:vMerge w:val="continue"/>
            <w:noWrap w:val="0"/>
            <w:vAlign w:val="center"/>
          </w:tcPr>
          <w:p w14:paraId="3D4632EB">
            <w:pPr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 w14:paraId="4AC240D2">
            <w:pPr>
              <w:jc w:val="center"/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 w14:paraId="780EE366">
            <w:pPr>
              <w:jc w:val="center"/>
              <w:rPr>
                <w:sz w:val="21"/>
                <w:highlight w:val="none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38A5ADCF">
            <w:pPr>
              <w:ind w:left="0" w:leftChars="0" w:firstLine="0" w:firstLineChars="0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财务状况</w:t>
            </w:r>
          </w:p>
        </w:tc>
        <w:tc>
          <w:tcPr>
            <w:tcW w:w="4917" w:type="dxa"/>
            <w:noWrap w:val="0"/>
            <w:vAlign w:val="center"/>
          </w:tcPr>
          <w:p w14:paraId="1C2EA89A"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符合第二章“投标人须知”第 1.4.1 项“财务要求”的规定</w:t>
            </w:r>
          </w:p>
        </w:tc>
      </w:tr>
      <w:tr w14:paraId="36A17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294" w:type="dxa"/>
            <w:vMerge w:val="continue"/>
            <w:noWrap w:val="0"/>
            <w:vAlign w:val="center"/>
          </w:tcPr>
          <w:p w14:paraId="31F5B4D8">
            <w:pPr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 w14:paraId="4350A51E">
            <w:pPr>
              <w:jc w:val="center"/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 w14:paraId="4AB5E5C9">
            <w:pPr>
              <w:jc w:val="center"/>
              <w:rPr>
                <w:sz w:val="21"/>
                <w:highlight w:val="none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6633AEE2">
            <w:pPr>
              <w:ind w:left="0" w:leftChars="0" w:firstLine="0" w:firstLineChars="0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类似项目业绩</w:t>
            </w:r>
          </w:p>
        </w:tc>
        <w:tc>
          <w:tcPr>
            <w:tcW w:w="4917" w:type="dxa"/>
            <w:noWrap w:val="0"/>
            <w:vAlign w:val="center"/>
          </w:tcPr>
          <w:p w14:paraId="71C01C17"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符合第二章“投标人须知”第 1.4.1 项“业绩要求”的规定</w:t>
            </w:r>
          </w:p>
        </w:tc>
      </w:tr>
      <w:tr w14:paraId="06601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294" w:type="dxa"/>
            <w:vMerge w:val="continue"/>
            <w:noWrap w:val="0"/>
            <w:vAlign w:val="center"/>
          </w:tcPr>
          <w:p w14:paraId="7D3771D4">
            <w:pPr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 w14:paraId="598E5EA3">
            <w:pPr>
              <w:jc w:val="center"/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 w14:paraId="5FE4B155">
            <w:pPr>
              <w:jc w:val="center"/>
              <w:rPr>
                <w:sz w:val="21"/>
                <w:highlight w:val="none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3B67C222">
            <w:pPr>
              <w:ind w:left="0" w:leftChars="0" w:firstLine="0" w:firstLineChars="0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信誉</w:t>
            </w:r>
          </w:p>
        </w:tc>
        <w:tc>
          <w:tcPr>
            <w:tcW w:w="4917" w:type="dxa"/>
            <w:noWrap w:val="0"/>
            <w:vAlign w:val="center"/>
          </w:tcPr>
          <w:p w14:paraId="20A2072E"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符合第二章“投标人须知”第 1.4.1 项“信誉要求”的规定</w:t>
            </w:r>
          </w:p>
        </w:tc>
      </w:tr>
      <w:tr w14:paraId="6B122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294" w:type="dxa"/>
            <w:vMerge w:val="continue"/>
            <w:noWrap w:val="0"/>
            <w:vAlign w:val="center"/>
          </w:tcPr>
          <w:p w14:paraId="585033A0">
            <w:pPr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 w14:paraId="7B2C5A01">
            <w:pPr>
              <w:jc w:val="center"/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 w14:paraId="56D03D3C">
            <w:pPr>
              <w:jc w:val="center"/>
              <w:rPr>
                <w:sz w:val="21"/>
                <w:highlight w:val="none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0F047409">
            <w:pPr>
              <w:ind w:left="0" w:leftChars="0" w:firstLine="0" w:firstLineChars="0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项目经理和项目总工资格</w:t>
            </w:r>
          </w:p>
        </w:tc>
        <w:tc>
          <w:tcPr>
            <w:tcW w:w="4917" w:type="dxa"/>
            <w:noWrap w:val="0"/>
            <w:vAlign w:val="center"/>
          </w:tcPr>
          <w:p w14:paraId="61303727"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sz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符合第二章“投标人须知”第 1.4.1 项“</w:t>
            </w:r>
            <w:r>
              <w:rPr>
                <w:rFonts w:hint="eastAsia"/>
                <w:sz w:val="21"/>
                <w:szCs w:val="21"/>
                <w:highlight w:val="none"/>
              </w:rPr>
              <w:t>项目经理和项目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资格”的规定</w:t>
            </w:r>
          </w:p>
        </w:tc>
      </w:tr>
      <w:tr w14:paraId="00F44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94" w:type="dxa"/>
            <w:vMerge w:val="continue"/>
            <w:noWrap w:val="0"/>
            <w:vAlign w:val="center"/>
          </w:tcPr>
          <w:p w14:paraId="49AA8D4F">
            <w:pPr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 w14:paraId="7879D117">
            <w:pPr>
              <w:jc w:val="center"/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 w14:paraId="7FBDCE5E">
            <w:pPr>
              <w:jc w:val="center"/>
              <w:rPr>
                <w:sz w:val="21"/>
                <w:highlight w:val="none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73BDDE4F">
            <w:pPr>
              <w:ind w:left="0" w:leftChars="0" w:firstLine="0" w:firstLineChars="0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其他要求</w:t>
            </w:r>
          </w:p>
        </w:tc>
        <w:tc>
          <w:tcPr>
            <w:tcW w:w="4917" w:type="dxa"/>
            <w:noWrap w:val="0"/>
            <w:vAlign w:val="center"/>
          </w:tcPr>
          <w:p w14:paraId="57FB7705"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sz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符合第二章“投标人须知”第 1.4.1 项“其他要求”的规定</w:t>
            </w:r>
          </w:p>
        </w:tc>
      </w:tr>
      <w:tr w14:paraId="151B0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94" w:type="dxa"/>
            <w:vMerge w:val="continue"/>
            <w:noWrap w:val="0"/>
            <w:vAlign w:val="center"/>
          </w:tcPr>
          <w:p w14:paraId="478B053A">
            <w:pPr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 w14:paraId="67C47ED1">
            <w:pPr>
              <w:jc w:val="center"/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 w14:paraId="5BD7027D">
            <w:pPr>
              <w:jc w:val="center"/>
              <w:rPr>
                <w:sz w:val="21"/>
                <w:highlight w:val="none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38DA051D">
            <w:pPr>
              <w:ind w:left="0" w:leftChars="0" w:firstLine="0" w:firstLineChars="0"/>
              <w:jc w:val="center"/>
              <w:rPr>
                <w:sz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企业名称和资质</w:t>
            </w:r>
          </w:p>
        </w:tc>
        <w:tc>
          <w:tcPr>
            <w:tcW w:w="4917" w:type="dxa"/>
            <w:noWrap w:val="0"/>
            <w:vAlign w:val="center"/>
          </w:tcPr>
          <w:p w14:paraId="12F9F3BA"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符合第二章“投标人须知”第1.4.5项“投标人名称和资质与名录中相应企业名称和资质完全一致”规定。</w:t>
            </w:r>
          </w:p>
        </w:tc>
      </w:tr>
      <w:tr w14:paraId="62C8D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1294" w:type="dxa"/>
            <w:vMerge w:val="continue"/>
            <w:noWrap w:val="0"/>
            <w:vAlign w:val="center"/>
          </w:tcPr>
          <w:p w14:paraId="5DEA493C">
            <w:pPr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 w14:paraId="1421F332">
            <w:pPr>
              <w:jc w:val="center"/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 w14:paraId="22BCF5F5">
            <w:pPr>
              <w:jc w:val="center"/>
              <w:rPr>
                <w:sz w:val="21"/>
                <w:highlight w:val="none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5EF1E19E">
            <w:pPr>
              <w:ind w:left="0" w:leftChars="0" w:firstLine="0" w:firstLineChars="0"/>
              <w:jc w:val="center"/>
              <w:rPr>
                <w:rFonts w:ascii="宋体" w:hAnsi="宋体" w:cs="宋体"/>
                <w:sz w:val="21"/>
                <w:szCs w:val="22"/>
                <w:highlight w:val="none"/>
                <w:lang w:val="zh-CN" w:bidi="zh-CN"/>
              </w:rPr>
            </w:pPr>
            <w:r>
              <w:rPr>
                <w:rFonts w:hint="eastAsia"/>
                <w:sz w:val="21"/>
                <w:highlight w:val="none"/>
              </w:rPr>
              <w:t>投标人不得存在的情形</w:t>
            </w:r>
          </w:p>
        </w:tc>
        <w:tc>
          <w:tcPr>
            <w:tcW w:w="4917" w:type="dxa"/>
            <w:noWrap w:val="0"/>
            <w:vAlign w:val="center"/>
          </w:tcPr>
          <w:p w14:paraId="723C0502">
            <w:pPr>
              <w:adjustRightInd w:val="0"/>
              <w:snapToGrid w:val="0"/>
              <w:spacing w:before="6" w:after="72" w:afterLines="30"/>
              <w:ind w:left="72" w:leftChars="30" w:right="72" w:rightChars="30"/>
              <w:rPr>
                <w:rFonts w:hint="eastAsia" w:ascii="宋体" w:hAnsi="宋体" w:cs="宋体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投标人不得存在第二章“投标人须知”第1.4.3项或第1.4.4项规定的任何一种情形</w:t>
            </w:r>
          </w:p>
        </w:tc>
      </w:tr>
      <w:tr w14:paraId="55FA5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94" w:type="dxa"/>
            <w:noWrap w:val="0"/>
            <w:vAlign w:val="center"/>
          </w:tcPr>
          <w:p w14:paraId="262EA68C">
            <w:pPr>
              <w:pStyle w:val="14"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 w:val="21"/>
                <w:highlight w:val="none"/>
              </w:rPr>
              <w:t>条款号</w:t>
            </w:r>
          </w:p>
        </w:tc>
        <w:tc>
          <w:tcPr>
            <w:tcW w:w="3268" w:type="dxa"/>
            <w:gridSpan w:val="3"/>
            <w:noWrap w:val="0"/>
            <w:vAlign w:val="center"/>
          </w:tcPr>
          <w:p w14:paraId="23BAB6B8">
            <w:pPr>
              <w:pStyle w:val="14"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 w:val="21"/>
                <w:highlight w:val="none"/>
              </w:rPr>
              <w:t>条款内容</w:t>
            </w:r>
          </w:p>
        </w:tc>
        <w:tc>
          <w:tcPr>
            <w:tcW w:w="4917" w:type="dxa"/>
            <w:noWrap w:val="0"/>
            <w:vAlign w:val="center"/>
          </w:tcPr>
          <w:p w14:paraId="1A16BCE5">
            <w:pPr>
              <w:pStyle w:val="14"/>
              <w:adjustRightInd w:val="0"/>
              <w:snapToGrid w:val="0"/>
              <w:spacing w:before="6" w:after="72" w:afterLines="30"/>
              <w:ind w:left="72" w:leftChars="30" w:right="72" w:rightChars="30"/>
              <w:jc w:val="center"/>
              <w:rPr>
                <w:rFonts w:hint="eastAsia" w:ascii="宋体" w:hAnsi="宋体" w:cs="宋体"/>
                <w:b/>
                <w:sz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 w:val="21"/>
                <w:highlight w:val="none"/>
              </w:rPr>
              <w:t>编列内容</w:t>
            </w:r>
          </w:p>
        </w:tc>
      </w:tr>
      <w:tr w14:paraId="0A33E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1294" w:type="dxa"/>
            <w:noWrap w:val="0"/>
            <w:vAlign w:val="center"/>
          </w:tcPr>
          <w:p w14:paraId="137480D6">
            <w:pPr>
              <w:pStyle w:val="14"/>
              <w:tabs>
                <w:tab w:val="center" w:pos="995"/>
              </w:tabs>
              <w:adjustRightInd w:val="0"/>
              <w:snapToGrid w:val="0"/>
              <w:jc w:val="both"/>
              <w:rPr>
                <w:rFonts w:hint="eastAsia" w:ascii="宋体" w:hAnsi="宋体" w:cs="宋体"/>
                <w:sz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highlight w:val="none"/>
              </w:rPr>
              <w:t>2.2.1</w:t>
            </w:r>
          </w:p>
        </w:tc>
        <w:tc>
          <w:tcPr>
            <w:tcW w:w="3268" w:type="dxa"/>
            <w:gridSpan w:val="3"/>
            <w:noWrap w:val="0"/>
            <w:vAlign w:val="center"/>
          </w:tcPr>
          <w:p w14:paraId="5A1DF4E7">
            <w:pPr>
              <w:pStyle w:val="14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highlight w:val="none"/>
              </w:rPr>
            </w:pPr>
            <w:r>
              <w:rPr>
                <w:rFonts w:hint="eastAsia" w:cs="宋体"/>
                <w:sz w:val="21"/>
                <w:highlight w:val="none"/>
              </w:rPr>
              <w:t>第一信封评分</w:t>
            </w:r>
            <w:r>
              <w:rPr>
                <w:rFonts w:hint="eastAsia" w:ascii="宋体" w:hAnsi="宋体" w:cs="宋体"/>
                <w:sz w:val="21"/>
                <w:highlight w:val="none"/>
              </w:rPr>
              <w:t>分值构成（总分1</w:t>
            </w:r>
            <w:r>
              <w:rPr>
                <w:rFonts w:hint="eastAsia" w:cs="宋体"/>
                <w:sz w:val="21"/>
                <w:highlight w:val="none"/>
              </w:rPr>
              <w:t>0</w:t>
            </w:r>
            <w:r>
              <w:rPr>
                <w:rFonts w:hint="eastAsia" w:ascii="宋体" w:hAnsi="宋体" w:cs="宋体"/>
                <w:sz w:val="21"/>
                <w:highlight w:val="none"/>
              </w:rPr>
              <w:t>0分）</w:t>
            </w:r>
          </w:p>
        </w:tc>
        <w:tc>
          <w:tcPr>
            <w:tcW w:w="4917" w:type="dxa"/>
            <w:noWrap w:val="0"/>
            <w:vAlign w:val="center"/>
          </w:tcPr>
          <w:p w14:paraId="04C3C2A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after="72" w:afterLines="30"/>
              <w:ind w:left="72" w:leftChars="30" w:right="170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zh-CN" w:bidi="zh-CN"/>
              </w:rPr>
              <w:t>施工组织设计：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bidi="zh-CN"/>
              </w:rPr>
              <w:t>40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zh-CN" w:bidi="zh-CN"/>
              </w:rPr>
              <w:t>分</w:t>
            </w:r>
          </w:p>
          <w:p w14:paraId="7F5357B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after="72" w:afterLines="30"/>
              <w:ind w:left="72" w:leftChars="30" w:right="170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zh-CN" w:bidi="zh-CN"/>
              </w:rPr>
              <w:t>主要人员：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bidi="zh-CN"/>
              </w:rPr>
              <w:t>25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zh-CN" w:bidi="zh-CN"/>
              </w:rPr>
              <w:t>分</w:t>
            </w:r>
          </w:p>
          <w:p w14:paraId="10B04EB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after="72" w:afterLines="30"/>
              <w:ind w:left="72" w:leftChars="30" w:right="170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zh-CN" w:bidi="zh-CN"/>
              </w:rPr>
              <w:t>技术能力：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bidi="zh-CN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zh-CN" w:bidi="zh-CN"/>
              </w:rPr>
              <w:t>分</w:t>
            </w:r>
          </w:p>
          <w:p w14:paraId="02081BE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after="72" w:afterLines="30"/>
              <w:ind w:left="72" w:leftChars="30" w:right="170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zh-CN" w:bidi="zh-CN"/>
              </w:rPr>
              <w:t>履约信誉：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bidi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bidi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zh-CN" w:bidi="zh-CN"/>
              </w:rPr>
              <w:t>分</w:t>
            </w:r>
          </w:p>
          <w:p w14:paraId="70F9F70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after="72" w:afterLines="30"/>
              <w:ind w:left="72" w:leftChars="30" w:right="170"/>
              <w:jc w:val="both"/>
              <w:textAlignment w:val="auto"/>
              <w:rPr>
                <w:rFonts w:hint="eastAsia" w:ascii="宋体" w:hAnsi="宋体" w:cs="宋体"/>
                <w:sz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bidi="zh-CN"/>
              </w:rPr>
              <w:t>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bidi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bidi="zh-CN"/>
              </w:rPr>
              <w:t>绩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zh-CN" w:bidi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bidi="zh-CN"/>
              </w:rPr>
              <w:t>15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zh-CN" w:bidi="zh-CN"/>
              </w:rPr>
              <w:t>分</w:t>
            </w:r>
          </w:p>
        </w:tc>
      </w:tr>
      <w:tr w14:paraId="6BBFE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294" w:type="dxa"/>
            <w:noWrap w:val="0"/>
            <w:vAlign w:val="center"/>
          </w:tcPr>
          <w:p w14:paraId="37B67CBF">
            <w:pPr>
              <w:pStyle w:val="14"/>
              <w:adjustRightInd w:val="0"/>
              <w:snapToGrid w:val="0"/>
              <w:jc w:val="both"/>
              <w:rPr>
                <w:rFonts w:hint="eastAsia" w:ascii="宋体" w:hAnsi="宋体" w:cs="宋体"/>
                <w:sz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highlight w:val="none"/>
              </w:rPr>
              <w:t>2.2.3</w:t>
            </w:r>
          </w:p>
        </w:tc>
        <w:tc>
          <w:tcPr>
            <w:tcW w:w="3268" w:type="dxa"/>
            <w:gridSpan w:val="3"/>
            <w:noWrap w:val="0"/>
            <w:vAlign w:val="center"/>
          </w:tcPr>
          <w:p w14:paraId="17BC5A2C">
            <w:pPr>
              <w:pStyle w:val="14"/>
              <w:adjustRightInd w:val="0"/>
              <w:ind w:left="0" w:leftChars="0" w:firstLine="0" w:firstLineChars="0"/>
              <w:jc w:val="center"/>
              <w:rPr>
                <w:rFonts w:ascii="宋体" w:hAnsi="宋体" w:cs="宋体"/>
                <w:sz w:val="21"/>
                <w:highlight w:val="none"/>
              </w:rPr>
            </w:pPr>
            <w:r>
              <w:rPr>
                <w:rFonts w:hint="eastAsia" w:cs="宋体"/>
                <w:sz w:val="21"/>
                <w:highlight w:val="none"/>
              </w:rPr>
              <w:t>第二信封详细评审标准</w:t>
            </w:r>
          </w:p>
        </w:tc>
        <w:tc>
          <w:tcPr>
            <w:tcW w:w="4917" w:type="dxa"/>
            <w:noWrap w:val="0"/>
            <w:vAlign w:val="center"/>
          </w:tcPr>
          <w:p w14:paraId="3EA2F247">
            <w:pPr>
              <w:pStyle w:val="14"/>
              <w:adjustRightInd w:val="0"/>
              <w:snapToGrid w:val="0"/>
              <w:spacing w:before="6" w:after="72" w:afterLines="30"/>
              <w:ind w:left="72" w:leftChars="30" w:right="170"/>
              <w:jc w:val="both"/>
              <w:rPr>
                <w:rFonts w:ascii="宋体" w:hAnsi="宋体" w:cs="宋体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ascii="宋体" w:hAnsi="宋体" w:cs="宋体"/>
                <w:sz w:val="21"/>
                <w:szCs w:val="21"/>
                <w:highlight w:val="none"/>
                <w:lang w:val="zh-CN" w:bidi="zh-CN"/>
              </w:rPr>
              <w:t>评标价计算公式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zh-CN" w:bidi="zh-CN"/>
              </w:rPr>
              <w:t>：</w:t>
            </w:r>
          </w:p>
          <w:p w14:paraId="1189AB01">
            <w:pPr>
              <w:pStyle w:val="14"/>
              <w:adjustRightInd w:val="0"/>
              <w:snapToGrid w:val="0"/>
              <w:spacing w:before="6" w:after="72" w:afterLines="30"/>
              <w:ind w:left="72" w:leftChars="30" w:right="170"/>
              <w:jc w:val="both"/>
              <w:rPr>
                <w:rFonts w:hint="eastAsia" w:ascii="宋体" w:hAnsi="宋体" w:cs="宋体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zh-CN" w:bidi="zh-CN"/>
              </w:rPr>
              <w:t>评标价＝投标函文字报价</w:t>
            </w:r>
          </w:p>
        </w:tc>
      </w:tr>
      <w:tr w14:paraId="67A36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1294" w:type="dxa"/>
            <w:noWrap w:val="0"/>
            <w:vAlign w:val="center"/>
          </w:tcPr>
          <w:p w14:paraId="10C279A6">
            <w:pPr>
              <w:pStyle w:val="14"/>
              <w:adjustRightInd w:val="0"/>
              <w:snapToGrid w:val="0"/>
              <w:jc w:val="both"/>
              <w:rPr>
                <w:rFonts w:hint="eastAsia" w:ascii="宋体" w:hAnsi="宋体" w:cs="宋体"/>
                <w:sz w:val="21"/>
                <w:highlight w:val="none"/>
              </w:rPr>
            </w:pPr>
            <w:r>
              <w:rPr>
                <w:rFonts w:hint="eastAsia" w:cs="宋体"/>
                <w:sz w:val="21"/>
                <w:highlight w:val="none"/>
              </w:rPr>
              <w:t>3</w:t>
            </w:r>
            <w:r>
              <w:rPr>
                <w:rFonts w:hint="eastAsia" w:ascii="宋体" w:hAnsi="宋体" w:cs="宋体"/>
                <w:sz w:val="21"/>
                <w:highlight w:val="none"/>
              </w:rPr>
              <w:t>.2.4</w:t>
            </w:r>
          </w:p>
        </w:tc>
        <w:tc>
          <w:tcPr>
            <w:tcW w:w="3268" w:type="dxa"/>
            <w:gridSpan w:val="3"/>
            <w:noWrap w:val="0"/>
            <w:vAlign w:val="center"/>
          </w:tcPr>
          <w:p w14:paraId="586417C9">
            <w:pPr>
              <w:pStyle w:val="14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highlight w:val="none"/>
              </w:rPr>
              <w:t>通过第一个信封详细评审的投标人数量</w:t>
            </w:r>
          </w:p>
        </w:tc>
        <w:tc>
          <w:tcPr>
            <w:tcW w:w="4917" w:type="dxa"/>
            <w:noWrap w:val="0"/>
            <w:vAlign w:val="center"/>
          </w:tcPr>
          <w:p w14:paraId="425264D9">
            <w:pPr>
              <w:pStyle w:val="14"/>
              <w:adjustRightInd w:val="0"/>
              <w:snapToGrid w:val="0"/>
              <w:spacing w:before="6" w:after="72" w:afterLines="30"/>
              <w:ind w:left="72" w:leftChars="30" w:right="170"/>
              <w:jc w:val="both"/>
              <w:rPr>
                <w:rFonts w:hint="eastAsia" w:ascii="宋体" w:hAnsi="宋体" w:cs="宋体"/>
                <w:sz w:val="21"/>
                <w:szCs w:val="21"/>
                <w:highlight w:val="none"/>
                <w:lang w:val="zh-CN" w:bidi="zh-CN"/>
              </w:rPr>
            </w:pPr>
            <w:r>
              <w:rPr>
                <w:rFonts w:ascii="宋体" w:hAnsi="宋体" w:cs="宋体"/>
                <w:sz w:val="21"/>
                <w:szCs w:val="21"/>
                <w:highlight w:val="none"/>
                <w:lang w:val="zh-CN" w:bidi="zh-CN"/>
              </w:rPr>
              <w:t xml:space="preserve">按照投标人的商务和技术得分由高到低排序，选择前 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zh-CN" w:bidi="zh-CN"/>
              </w:rPr>
              <w:t xml:space="preserve">3 </w:t>
            </w:r>
            <w:r>
              <w:rPr>
                <w:rFonts w:ascii="宋体" w:hAnsi="宋体" w:cs="宋体"/>
                <w:sz w:val="21"/>
                <w:szCs w:val="21"/>
                <w:highlight w:val="none"/>
                <w:lang w:val="zh-CN" w:bidi="zh-CN"/>
              </w:rPr>
              <w:t>名通过详细评审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zh-CN" w:bidi="zh-CN"/>
              </w:rPr>
              <w:t>进入评标价排名</w:t>
            </w:r>
            <w:r>
              <w:rPr>
                <w:rFonts w:ascii="宋体" w:hAnsi="宋体" w:cs="宋体"/>
                <w:sz w:val="21"/>
                <w:szCs w:val="21"/>
                <w:highlight w:val="none"/>
                <w:lang w:bidi="zh-CN"/>
              </w:rPr>
              <w:t>。</w:t>
            </w:r>
          </w:p>
        </w:tc>
      </w:tr>
    </w:tbl>
    <w:tbl>
      <w:tblPr>
        <w:tblStyle w:val="11"/>
        <w:tblpPr w:leftFromText="180" w:rightFromText="180" w:vertAnchor="text" w:horzAnchor="page" w:tblpX="1195" w:tblpY="230"/>
        <w:tblOverlap w:val="never"/>
        <w:tblW w:w="952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212"/>
        <w:gridCol w:w="1053"/>
        <w:gridCol w:w="2248"/>
        <w:gridCol w:w="720"/>
        <w:gridCol w:w="3212"/>
      </w:tblGrid>
      <w:tr w14:paraId="7F77FB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525" w:type="dxa"/>
            <w:gridSpan w:val="6"/>
            <w:noWrap w:val="0"/>
            <w:vAlign w:val="center"/>
          </w:tcPr>
          <w:p w14:paraId="2C3B994E"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评分因素与权重分值</w:t>
            </w:r>
          </w:p>
        </w:tc>
      </w:tr>
      <w:tr w14:paraId="2CAEA0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80" w:type="dxa"/>
            <w:noWrap w:val="0"/>
            <w:vAlign w:val="center"/>
          </w:tcPr>
          <w:p w14:paraId="12DD2BCE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条款号</w:t>
            </w:r>
          </w:p>
        </w:tc>
        <w:tc>
          <w:tcPr>
            <w:tcW w:w="1212" w:type="dxa"/>
            <w:noWrap w:val="0"/>
            <w:vAlign w:val="center"/>
          </w:tcPr>
          <w:p w14:paraId="270DC394">
            <w:pPr>
              <w:autoSpaceDE/>
              <w:autoSpaceDN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spacing w:val="-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10"/>
                <w:sz w:val="21"/>
                <w:szCs w:val="21"/>
                <w:highlight w:val="none"/>
              </w:rPr>
              <w:t>评分因素</w:t>
            </w:r>
          </w:p>
        </w:tc>
        <w:tc>
          <w:tcPr>
            <w:tcW w:w="1053" w:type="dxa"/>
            <w:noWrap w:val="0"/>
            <w:vAlign w:val="center"/>
          </w:tcPr>
          <w:p w14:paraId="28F69306">
            <w:pPr>
              <w:autoSpaceDE/>
              <w:autoSpaceDN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评分因素     权重分值</w:t>
            </w:r>
          </w:p>
        </w:tc>
        <w:tc>
          <w:tcPr>
            <w:tcW w:w="2248" w:type="dxa"/>
            <w:noWrap w:val="0"/>
            <w:vAlign w:val="center"/>
          </w:tcPr>
          <w:p w14:paraId="4C827BB1">
            <w:pPr>
              <w:autoSpaceDE/>
              <w:autoSpaceDN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各评分因素细分项</w:t>
            </w:r>
          </w:p>
        </w:tc>
        <w:tc>
          <w:tcPr>
            <w:tcW w:w="720" w:type="dxa"/>
            <w:noWrap w:val="0"/>
            <w:vAlign w:val="center"/>
          </w:tcPr>
          <w:p w14:paraId="09499F86">
            <w:pPr>
              <w:autoSpaceDE/>
              <w:autoSpaceDN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3212" w:type="dxa"/>
            <w:noWrap w:val="0"/>
            <w:vAlign w:val="center"/>
          </w:tcPr>
          <w:p w14:paraId="32CE7346">
            <w:pPr>
              <w:autoSpaceDE/>
              <w:autoSpaceDN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评分标准</w:t>
            </w:r>
          </w:p>
        </w:tc>
      </w:tr>
      <w:tr w14:paraId="325430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080" w:type="dxa"/>
            <w:vMerge w:val="restart"/>
            <w:noWrap w:val="0"/>
            <w:vAlign w:val="center"/>
          </w:tcPr>
          <w:p w14:paraId="573C1767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2.2.2(1)</w:t>
            </w:r>
          </w:p>
        </w:tc>
        <w:tc>
          <w:tcPr>
            <w:tcW w:w="1212" w:type="dxa"/>
            <w:vMerge w:val="restart"/>
            <w:noWrap w:val="0"/>
            <w:vAlign w:val="center"/>
          </w:tcPr>
          <w:p w14:paraId="1CF85435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  <w:p w14:paraId="35D744BB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施工期组织设计</w:t>
            </w:r>
          </w:p>
        </w:tc>
        <w:tc>
          <w:tcPr>
            <w:tcW w:w="1053" w:type="dxa"/>
            <w:vMerge w:val="restart"/>
            <w:noWrap w:val="0"/>
            <w:vAlign w:val="center"/>
          </w:tcPr>
          <w:p w14:paraId="0F090154">
            <w:pPr>
              <w:pStyle w:val="14"/>
              <w:tabs>
                <w:tab w:val="left" w:pos="671"/>
              </w:tabs>
              <w:adjustRightInd w:val="0"/>
              <w:snapToGrid w:val="0"/>
              <w:spacing w:before="196"/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u w:val="none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</w:rPr>
              <w:t>分</w:t>
            </w:r>
          </w:p>
        </w:tc>
        <w:tc>
          <w:tcPr>
            <w:tcW w:w="2248" w:type="dxa"/>
            <w:noWrap w:val="0"/>
            <w:vAlign w:val="center"/>
          </w:tcPr>
          <w:p w14:paraId="047F6105">
            <w:pPr>
              <w:pStyle w:val="5"/>
              <w:spacing w:before="120" w:beforeLines="50" w:line="300" w:lineRule="exact"/>
              <w:ind w:right="120" w:rightChars="50"/>
              <w:jc w:val="both"/>
              <w:rPr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" w:eastAsia="zh-CN"/>
              </w:rPr>
              <w:t>总体施工组织布置及规划</w:t>
            </w:r>
          </w:p>
        </w:tc>
        <w:tc>
          <w:tcPr>
            <w:tcW w:w="720" w:type="dxa"/>
            <w:noWrap w:val="0"/>
            <w:vAlign w:val="center"/>
          </w:tcPr>
          <w:p w14:paraId="06CC7051">
            <w:pPr>
              <w:pStyle w:val="14"/>
              <w:tabs>
                <w:tab w:val="left" w:pos="452"/>
              </w:tabs>
              <w:adjustRightInd w:val="0"/>
              <w:snapToGrid w:val="0"/>
              <w:spacing w:before="72" w:beforeLines="30" w:after="72" w:afterLines="30"/>
              <w:ind w:left="0" w:leftChars="0" w:right="72" w:rightChars="3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</w:rPr>
              <w:t>分</w:t>
            </w:r>
          </w:p>
        </w:tc>
        <w:tc>
          <w:tcPr>
            <w:tcW w:w="3212" w:type="dxa"/>
            <w:noWrap w:val="0"/>
            <w:vAlign w:val="center"/>
          </w:tcPr>
          <w:p w14:paraId="6CAD924A">
            <w:pPr>
              <w:pStyle w:val="14"/>
              <w:adjustRightInd w:val="0"/>
              <w:snapToGrid w:val="0"/>
              <w:spacing w:before="72" w:beforeLines="30" w:after="72" w:afterLines="30"/>
              <w:ind w:left="72" w:leftChars="30" w:right="72" w:rightChars="3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编制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科学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"/>
              </w:rPr>
              <w:t>合理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的得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7.2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～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较合理的得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～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7.2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分，一般的得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4.8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～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分。</w:t>
            </w:r>
          </w:p>
        </w:tc>
      </w:tr>
      <w:tr w14:paraId="3E07E4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12A61A93"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jc w:val="center"/>
              <w:rPr>
                <w:highlight w:val="none"/>
              </w:rPr>
            </w:pPr>
          </w:p>
        </w:tc>
        <w:tc>
          <w:tcPr>
            <w:tcW w:w="1212" w:type="dxa"/>
            <w:vMerge w:val="continue"/>
            <w:noWrap w:val="0"/>
            <w:vAlign w:val="center"/>
          </w:tcPr>
          <w:p w14:paraId="7CD5C2D0"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jc w:val="center"/>
              <w:rPr>
                <w:highlight w:val="none"/>
              </w:rPr>
            </w:pPr>
          </w:p>
        </w:tc>
        <w:tc>
          <w:tcPr>
            <w:tcW w:w="1053" w:type="dxa"/>
            <w:vMerge w:val="continue"/>
            <w:noWrap w:val="0"/>
            <w:vAlign w:val="center"/>
          </w:tcPr>
          <w:p w14:paraId="255486A3"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jc w:val="center"/>
              <w:rPr>
                <w:highlight w:val="none"/>
              </w:rPr>
            </w:pPr>
          </w:p>
        </w:tc>
        <w:tc>
          <w:tcPr>
            <w:tcW w:w="2248" w:type="dxa"/>
            <w:noWrap w:val="0"/>
            <w:vAlign w:val="center"/>
          </w:tcPr>
          <w:p w14:paraId="0F10E624">
            <w:pPr>
              <w:adjustRightInd w:val="0"/>
              <w:snapToGrid w:val="0"/>
              <w:spacing w:before="120" w:beforeLines="50" w:line="300" w:lineRule="exact"/>
              <w:ind w:right="120" w:rightChars="50"/>
              <w:jc w:val="both"/>
              <w:rPr>
                <w:rFonts w:ascii="宋体" w:hAnsi="宋体" w:cs="宋体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"/>
              </w:rPr>
              <w:t>主要工程项目的施工方案、方法与技术措施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" w:eastAsia="zh-CN"/>
              </w:rPr>
              <w:t>（尤其对重点、关键和难点工程的施工方案、方法及措施）</w:t>
            </w:r>
          </w:p>
        </w:tc>
        <w:tc>
          <w:tcPr>
            <w:tcW w:w="720" w:type="dxa"/>
            <w:noWrap w:val="0"/>
            <w:vAlign w:val="center"/>
          </w:tcPr>
          <w:p w14:paraId="4C17054F">
            <w:pPr>
              <w:adjustRightInd w:val="0"/>
              <w:snapToGrid w:val="0"/>
              <w:spacing w:before="72" w:beforeLines="30" w:after="72" w:afterLines="30"/>
              <w:ind w:left="0" w:leftChars="0" w:right="72" w:rightChars="3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</w:rPr>
              <w:t>分</w:t>
            </w:r>
          </w:p>
        </w:tc>
        <w:tc>
          <w:tcPr>
            <w:tcW w:w="3212" w:type="dxa"/>
            <w:noWrap w:val="0"/>
            <w:vAlign w:val="center"/>
          </w:tcPr>
          <w:p w14:paraId="3AA9360F"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编制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科学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"/>
              </w:rPr>
              <w:t>合理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的得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7.2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～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较合理的得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～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7.2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分，一般的得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4.8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～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分。</w:t>
            </w:r>
          </w:p>
        </w:tc>
      </w:tr>
      <w:tr w14:paraId="7E563D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608FCCED"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jc w:val="center"/>
              <w:rPr>
                <w:rFonts w:ascii="宋体" w:hAnsi="宋体" w:cs="宋体"/>
                <w:sz w:val="21"/>
                <w:szCs w:val="21"/>
                <w:highlight w:val="none"/>
                <w:lang w:val="en"/>
              </w:rPr>
            </w:pPr>
          </w:p>
        </w:tc>
        <w:tc>
          <w:tcPr>
            <w:tcW w:w="1212" w:type="dxa"/>
            <w:vMerge w:val="continue"/>
            <w:noWrap w:val="0"/>
            <w:vAlign w:val="center"/>
          </w:tcPr>
          <w:p w14:paraId="4C5F0AC8"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jc w:val="center"/>
              <w:rPr>
                <w:rFonts w:ascii="宋体" w:hAnsi="宋体" w:cs="宋体"/>
                <w:sz w:val="21"/>
                <w:szCs w:val="21"/>
                <w:highlight w:val="none"/>
                <w:lang w:val="en"/>
              </w:rPr>
            </w:pPr>
          </w:p>
        </w:tc>
        <w:tc>
          <w:tcPr>
            <w:tcW w:w="1053" w:type="dxa"/>
            <w:vMerge w:val="continue"/>
            <w:noWrap w:val="0"/>
            <w:vAlign w:val="center"/>
          </w:tcPr>
          <w:p w14:paraId="04E67BCC"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jc w:val="center"/>
              <w:rPr>
                <w:rFonts w:ascii="宋体" w:hAnsi="宋体" w:cs="宋体"/>
                <w:sz w:val="21"/>
                <w:szCs w:val="21"/>
                <w:highlight w:val="none"/>
                <w:lang w:val="en"/>
              </w:rPr>
            </w:pPr>
          </w:p>
        </w:tc>
        <w:tc>
          <w:tcPr>
            <w:tcW w:w="2248" w:type="dxa"/>
            <w:noWrap w:val="0"/>
            <w:vAlign w:val="center"/>
          </w:tcPr>
          <w:p w14:paraId="4DAC135E">
            <w:pPr>
              <w:pStyle w:val="5"/>
              <w:spacing w:before="120" w:beforeLines="50" w:line="300" w:lineRule="exact"/>
              <w:ind w:right="120" w:rightChars="50"/>
              <w:jc w:val="both"/>
              <w:rPr>
                <w:rFonts w:hint="default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1"/>
                <w:szCs w:val="21"/>
                <w:highlight w:val="none"/>
                <w:lang w:val="en" w:eastAsia="zh-CN" w:bidi="ar-SA"/>
              </w:rPr>
              <w:t>工期、</w:t>
            </w:r>
            <w:r>
              <w:rPr>
                <w:rFonts w:hint="eastAsia"/>
                <w:sz w:val="21"/>
                <w:szCs w:val="21"/>
                <w:highlight w:val="none"/>
                <w:lang w:val="en" w:eastAsia="zh-CN"/>
              </w:rPr>
              <w:t>环境保护、水土保持、文明施工保证体系及保证措施，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 w:bidi="ar-SA"/>
              </w:rPr>
              <w:t>工程</w:t>
            </w:r>
            <w:r>
              <w:rPr>
                <w:sz w:val="21"/>
                <w:szCs w:val="21"/>
                <w:highlight w:val="none"/>
                <w:lang w:val="en" w:eastAsia="zh-CN" w:bidi="ar-SA"/>
              </w:rPr>
              <w:t>质量、安全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 w:bidi="ar-SA"/>
              </w:rPr>
              <w:t>生产管理体系及</w:t>
            </w:r>
            <w:r>
              <w:rPr>
                <w:rFonts w:hint="eastAsia"/>
                <w:sz w:val="21"/>
                <w:szCs w:val="21"/>
                <w:highlight w:val="none"/>
                <w:lang w:val="en" w:eastAsia="zh-CN"/>
              </w:rPr>
              <w:t>保证措施</w:t>
            </w:r>
          </w:p>
        </w:tc>
        <w:tc>
          <w:tcPr>
            <w:tcW w:w="720" w:type="dxa"/>
            <w:noWrap w:val="0"/>
            <w:vAlign w:val="center"/>
          </w:tcPr>
          <w:p w14:paraId="202D3D9A">
            <w:pPr>
              <w:adjustRightInd w:val="0"/>
              <w:snapToGrid w:val="0"/>
              <w:spacing w:before="72" w:beforeLines="30" w:after="72" w:afterLines="30"/>
              <w:ind w:left="0" w:leftChars="0" w:right="72" w:rightChars="3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</w:rPr>
              <w:t>分</w:t>
            </w:r>
          </w:p>
        </w:tc>
        <w:tc>
          <w:tcPr>
            <w:tcW w:w="3212" w:type="dxa"/>
            <w:noWrap w:val="0"/>
            <w:vAlign w:val="center"/>
          </w:tcPr>
          <w:p w14:paraId="46685C8E"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编制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科学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"/>
              </w:rPr>
              <w:t>合理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的得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7.2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～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较合理的得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～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7.2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分，一般的得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4.8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～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分。</w:t>
            </w:r>
          </w:p>
        </w:tc>
      </w:tr>
      <w:tr w14:paraId="6E950F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6769D3B2"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jc w:val="center"/>
              <w:rPr>
                <w:rFonts w:ascii="宋体" w:hAnsi="宋体" w:cs="宋体"/>
                <w:sz w:val="21"/>
                <w:szCs w:val="21"/>
                <w:highlight w:val="none"/>
                <w:lang w:val="en"/>
              </w:rPr>
            </w:pPr>
          </w:p>
        </w:tc>
        <w:tc>
          <w:tcPr>
            <w:tcW w:w="1212" w:type="dxa"/>
            <w:vMerge w:val="continue"/>
            <w:noWrap w:val="0"/>
            <w:vAlign w:val="center"/>
          </w:tcPr>
          <w:p w14:paraId="65EB9283"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jc w:val="center"/>
              <w:rPr>
                <w:rFonts w:ascii="宋体" w:hAnsi="宋体" w:cs="宋体"/>
                <w:sz w:val="21"/>
                <w:szCs w:val="21"/>
                <w:highlight w:val="none"/>
                <w:lang w:val="en"/>
              </w:rPr>
            </w:pPr>
          </w:p>
        </w:tc>
        <w:tc>
          <w:tcPr>
            <w:tcW w:w="1053" w:type="dxa"/>
            <w:vMerge w:val="continue"/>
            <w:noWrap w:val="0"/>
            <w:vAlign w:val="center"/>
          </w:tcPr>
          <w:p w14:paraId="3A303844"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jc w:val="center"/>
              <w:rPr>
                <w:rFonts w:ascii="宋体" w:hAnsi="宋体" w:cs="宋体"/>
                <w:sz w:val="21"/>
                <w:szCs w:val="21"/>
                <w:highlight w:val="none"/>
                <w:lang w:val="en"/>
              </w:rPr>
            </w:pPr>
          </w:p>
        </w:tc>
        <w:tc>
          <w:tcPr>
            <w:tcW w:w="2248" w:type="dxa"/>
            <w:noWrap w:val="0"/>
            <w:vAlign w:val="center"/>
          </w:tcPr>
          <w:p w14:paraId="2FE7981B">
            <w:pPr>
              <w:adjustRightInd w:val="0"/>
              <w:snapToGrid w:val="0"/>
              <w:spacing w:before="120" w:beforeLines="50" w:line="300" w:lineRule="exact"/>
              <w:ind w:right="120" w:rightChars="50"/>
              <w:jc w:val="both"/>
              <w:rPr>
                <w:rFonts w:ascii="宋体" w:hAnsi="宋体" w:cs="宋体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" w:bidi="zh-CN"/>
              </w:rPr>
              <w:t>项目风险预测与防范，事故应急预案</w:t>
            </w:r>
          </w:p>
        </w:tc>
        <w:tc>
          <w:tcPr>
            <w:tcW w:w="720" w:type="dxa"/>
            <w:noWrap w:val="0"/>
            <w:vAlign w:val="center"/>
          </w:tcPr>
          <w:p w14:paraId="400071BD">
            <w:pPr>
              <w:adjustRightInd w:val="0"/>
              <w:snapToGrid w:val="0"/>
              <w:spacing w:before="72" w:beforeLines="30" w:after="72" w:afterLines="30"/>
              <w:ind w:left="0" w:leftChars="0" w:right="72" w:rightChars="3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</w:rPr>
              <w:t>分</w:t>
            </w:r>
          </w:p>
        </w:tc>
        <w:tc>
          <w:tcPr>
            <w:tcW w:w="3212" w:type="dxa"/>
            <w:noWrap w:val="0"/>
            <w:vAlign w:val="center"/>
          </w:tcPr>
          <w:p w14:paraId="6E637006"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编制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科学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"/>
              </w:rPr>
              <w:t>合理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的得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7.2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～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较合理的得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～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7.2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分，一般的得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4.8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～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分。</w:t>
            </w:r>
          </w:p>
        </w:tc>
      </w:tr>
      <w:tr w14:paraId="333457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2AD5FA84"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jc w:val="center"/>
              <w:rPr>
                <w:rFonts w:ascii="宋体" w:hAnsi="宋体" w:cs="宋体"/>
                <w:sz w:val="21"/>
                <w:szCs w:val="21"/>
                <w:highlight w:val="none"/>
                <w:lang w:val="en"/>
              </w:rPr>
            </w:pPr>
          </w:p>
        </w:tc>
        <w:tc>
          <w:tcPr>
            <w:tcW w:w="1212" w:type="dxa"/>
            <w:vMerge w:val="continue"/>
            <w:noWrap w:val="0"/>
            <w:vAlign w:val="center"/>
          </w:tcPr>
          <w:p w14:paraId="5C6F6284"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jc w:val="center"/>
              <w:rPr>
                <w:rFonts w:ascii="宋体" w:hAnsi="宋体" w:cs="宋体"/>
                <w:sz w:val="21"/>
                <w:szCs w:val="21"/>
                <w:highlight w:val="none"/>
                <w:lang w:val="en"/>
              </w:rPr>
            </w:pPr>
          </w:p>
        </w:tc>
        <w:tc>
          <w:tcPr>
            <w:tcW w:w="1053" w:type="dxa"/>
            <w:vMerge w:val="continue"/>
            <w:noWrap w:val="0"/>
            <w:vAlign w:val="center"/>
          </w:tcPr>
          <w:p w14:paraId="6DB85123"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jc w:val="center"/>
              <w:rPr>
                <w:rFonts w:ascii="宋体" w:hAnsi="宋体" w:cs="宋体"/>
                <w:sz w:val="21"/>
                <w:szCs w:val="21"/>
                <w:highlight w:val="none"/>
                <w:lang w:val="en"/>
              </w:rPr>
            </w:pPr>
          </w:p>
        </w:tc>
        <w:tc>
          <w:tcPr>
            <w:tcW w:w="2248" w:type="dxa"/>
            <w:noWrap w:val="0"/>
            <w:vAlign w:val="center"/>
          </w:tcPr>
          <w:p w14:paraId="1919CB89">
            <w:pPr>
              <w:adjustRightInd w:val="0"/>
              <w:snapToGrid w:val="0"/>
              <w:spacing w:before="120" w:beforeLines="50" w:line="300" w:lineRule="exact"/>
              <w:ind w:right="120" w:rightChars="50"/>
              <w:jc w:val="both"/>
              <w:rPr>
                <w:rFonts w:ascii="宋体" w:hAnsi="宋体" w:cs="宋体"/>
                <w:sz w:val="21"/>
                <w:szCs w:val="21"/>
                <w:highlight w:val="none"/>
                <w:lang w:val="en"/>
              </w:rPr>
            </w:pPr>
            <w:r>
              <w:rPr>
                <w:rFonts w:ascii="宋体" w:hAnsi="宋体" w:cs="宋体"/>
                <w:sz w:val="21"/>
                <w:szCs w:val="21"/>
                <w:highlight w:val="none"/>
                <w:lang w:val="en"/>
              </w:rPr>
              <w:t>保通措施</w:t>
            </w:r>
          </w:p>
        </w:tc>
        <w:tc>
          <w:tcPr>
            <w:tcW w:w="720" w:type="dxa"/>
            <w:noWrap w:val="0"/>
            <w:vAlign w:val="center"/>
          </w:tcPr>
          <w:p w14:paraId="5DCCC77D">
            <w:pPr>
              <w:adjustRightInd w:val="0"/>
              <w:snapToGrid w:val="0"/>
              <w:spacing w:before="72" w:beforeLines="30" w:after="72" w:afterLines="30"/>
              <w:ind w:left="0" w:leftChars="0" w:right="72" w:rightChars="3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lang w:val="en-US" w:eastAsia="zh-CN"/>
              </w:rPr>
              <w:t>8分</w:t>
            </w:r>
          </w:p>
        </w:tc>
        <w:tc>
          <w:tcPr>
            <w:tcW w:w="3212" w:type="dxa"/>
            <w:noWrap w:val="0"/>
            <w:vAlign w:val="center"/>
          </w:tcPr>
          <w:p w14:paraId="196BD947"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编制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科学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"/>
              </w:rPr>
              <w:t>合理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的得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7.2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～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较合理的得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～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7.2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分，一般的得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4.8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～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分。</w:t>
            </w:r>
          </w:p>
        </w:tc>
      </w:tr>
    </w:tbl>
    <w:p w14:paraId="2075699C">
      <w:pPr>
        <w:rPr>
          <w:rFonts w:hint="default"/>
          <w:color w:val="auto"/>
          <w:highlight w:val="none"/>
        </w:rPr>
      </w:pPr>
      <w:r>
        <w:rPr>
          <w:rFonts w:hint="default"/>
          <w:color w:val="auto"/>
          <w:highlight w:val="none"/>
        </w:rPr>
        <w:br w:type="page"/>
      </w:r>
    </w:p>
    <w:tbl>
      <w:tblPr>
        <w:tblStyle w:val="11"/>
        <w:tblpPr w:leftFromText="180" w:rightFromText="180" w:vertAnchor="text" w:horzAnchor="page" w:tblpX="1180" w:tblpY="230"/>
        <w:tblOverlap w:val="never"/>
        <w:tblW w:w="95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620"/>
        <w:gridCol w:w="592"/>
        <w:gridCol w:w="1053"/>
        <w:gridCol w:w="2248"/>
        <w:gridCol w:w="720"/>
        <w:gridCol w:w="3212"/>
      </w:tblGrid>
      <w:tr w14:paraId="332A36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095" w:type="dxa"/>
            <w:noWrap w:val="0"/>
            <w:vAlign w:val="center"/>
          </w:tcPr>
          <w:p w14:paraId="5224B8B9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条款号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 w14:paraId="3F1B7D28">
            <w:pPr>
              <w:autoSpaceDE/>
              <w:autoSpaceDN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10"/>
                <w:sz w:val="21"/>
                <w:szCs w:val="21"/>
                <w:highlight w:val="none"/>
              </w:rPr>
              <w:t>评分因素</w:t>
            </w:r>
          </w:p>
        </w:tc>
        <w:tc>
          <w:tcPr>
            <w:tcW w:w="1053" w:type="dxa"/>
            <w:noWrap w:val="0"/>
            <w:vAlign w:val="center"/>
          </w:tcPr>
          <w:p w14:paraId="3D19757A">
            <w:pPr>
              <w:autoSpaceDE/>
              <w:autoSpaceDN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评分因素     权重分值</w:t>
            </w:r>
          </w:p>
        </w:tc>
        <w:tc>
          <w:tcPr>
            <w:tcW w:w="2248" w:type="dxa"/>
            <w:noWrap w:val="0"/>
            <w:vAlign w:val="center"/>
          </w:tcPr>
          <w:p w14:paraId="62260C2D">
            <w:pPr>
              <w:autoSpaceDE/>
              <w:autoSpaceDN/>
              <w:adjustRightInd w:val="0"/>
              <w:snapToGrid w:val="0"/>
              <w:ind w:left="0" w:leftChars="0" w:firstLine="0" w:firstLineChars="0"/>
              <w:jc w:val="center"/>
              <w:rPr>
                <w:rFonts w:hint="eastAsia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各评分因素细分项</w:t>
            </w:r>
          </w:p>
        </w:tc>
        <w:tc>
          <w:tcPr>
            <w:tcW w:w="720" w:type="dxa"/>
            <w:noWrap w:val="0"/>
            <w:vAlign w:val="center"/>
          </w:tcPr>
          <w:p w14:paraId="65A6E3CF">
            <w:pPr>
              <w:autoSpaceDE/>
              <w:autoSpaceDN/>
              <w:adjustRightInd w:val="0"/>
              <w:snapToGrid w:val="0"/>
              <w:ind w:left="0" w:leftChars="0" w:firstLine="0" w:firstLineChars="0"/>
              <w:jc w:val="center"/>
              <w:rPr>
                <w:rFonts w:hint="eastAsia" w:cs="宋体"/>
                <w:kern w:val="2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3212" w:type="dxa"/>
            <w:noWrap w:val="0"/>
            <w:vAlign w:val="center"/>
          </w:tcPr>
          <w:p w14:paraId="006A0297">
            <w:pPr>
              <w:autoSpaceDE/>
              <w:autoSpaceDN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评分标准</w:t>
            </w:r>
          </w:p>
        </w:tc>
      </w:tr>
      <w:tr w14:paraId="6AC136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95" w:type="dxa"/>
            <w:vMerge w:val="restart"/>
            <w:noWrap w:val="0"/>
            <w:vAlign w:val="center"/>
          </w:tcPr>
          <w:p w14:paraId="56E441C1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 w:bidi="ar-SA"/>
              </w:rPr>
            </w:pPr>
            <w:bookmarkStart w:id="2" w:name="_bookmark95"/>
            <w:bookmarkEnd w:id="2"/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2.2.2(2)</w:t>
            </w:r>
          </w:p>
        </w:tc>
        <w:tc>
          <w:tcPr>
            <w:tcW w:w="1212" w:type="dxa"/>
            <w:gridSpan w:val="2"/>
            <w:vMerge w:val="restart"/>
            <w:noWrap w:val="0"/>
            <w:vAlign w:val="center"/>
          </w:tcPr>
          <w:p w14:paraId="7D32EC0F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主要人员</w:t>
            </w:r>
          </w:p>
        </w:tc>
        <w:tc>
          <w:tcPr>
            <w:tcW w:w="1053" w:type="dxa"/>
            <w:vMerge w:val="restart"/>
            <w:noWrap w:val="0"/>
            <w:vAlign w:val="center"/>
          </w:tcPr>
          <w:p w14:paraId="6DB26FE6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</w:rPr>
              <w:t>25分</w:t>
            </w:r>
          </w:p>
        </w:tc>
        <w:tc>
          <w:tcPr>
            <w:tcW w:w="2248" w:type="dxa"/>
            <w:vMerge w:val="restart"/>
            <w:noWrap w:val="0"/>
            <w:vAlign w:val="center"/>
          </w:tcPr>
          <w:p w14:paraId="26CFF66D"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项目经理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得分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17ED1BB0">
            <w:pPr>
              <w:adjustRightInd w:val="0"/>
              <w:snapToGrid w:val="0"/>
              <w:spacing w:before="72" w:beforeLines="30" w:after="72" w:afterLines="30"/>
              <w:ind w:left="0" w:leftChars="0" w:right="72" w:rightChars="3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12.5分</w:t>
            </w:r>
          </w:p>
        </w:tc>
        <w:tc>
          <w:tcPr>
            <w:tcW w:w="3212" w:type="dxa"/>
            <w:noWrap w:val="0"/>
            <w:vAlign w:val="center"/>
          </w:tcPr>
          <w:p w14:paraId="215C96BD"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满足招标文件资格审查条件要求的得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7.5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分。</w:t>
            </w:r>
          </w:p>
        </w:tc>
      </w:tr>
      <w:tr w14:paraId="035D04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1095" w:type="dxa"/>
            <w:vMerge w:val="continue"/>
            <w:noWrap w:val="0"/>
            <w:vAlign w:val="center"/>
          </w:tcPr>
          <w:p w14:paraId="2EBAA0E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12" w:type="dxa"/>
            <w:gridSpan w:val="2"/>
            <w:vMerge w:val="continue"/>
            <w:noWrap w:val="0"/>
            <w:vAlign w:val="center"/>
          </w:tcPr>
          <w:p w14:paraId="6E1F183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53" w:type="dxa"/>
            <w:vMerge w:val="continue"/>
            <w:noWrap w:val="0"/>
            <w:vAlign w:val="center"/>
          </w:tcPr>
          <w:p w14:paraId="56DF5A1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48" w:type="dxa"/>
            <w:vMerge w:val="continue"/>
            <w:noWrap w:val="0"/>
            <w:vAlign w:val="center"/>
          </w:tcPr>
          <w:p w14:paraId="1C0CF73C"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0F89BAD1"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12" w:type="dxa"/>
            <w:noWrap w:val="0"/>
            <w:vAlign w:val="center"/>
          </w:tcPr>
          <w:p w14:paraId="566FAB16"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拟任项目经理具有副高级及以上职称的加5分。</w:t>
            </w:r>
          </w:p>
        </w:tc>
      </w:tr>
      <w:tr w14:paraId="333E5B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95" w:type="dxa"/>
            <w:vMerge w:val="continue"/>
            <w:noWrap w:val="0"/>
            <w:vAlign w:val="center"/>
          </w:tcPr>
          <w:p w14:paraId="60BD8FDE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2" w:type="dxa"/>
            <w:gridSpan w:val="2"/>
            <w:vMerge w:val="continue"/>
            <w:noWrap w:val="0"/>
            <w:vAlign w:val="center"/>
          </w:tcPr>
          <w:p w14:paraId="49AE6DCE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053" w:type="dxa"/>
            <w:vMerge w:val="continue"/>
            <w:noWrap w:val="0"/>
            <w:vAlign w:val="center"/>
          </w:tcPr>
          <w:p w14:paraId="377FEC0B">
            <w:pPr>
              <w:adjustRightInd w:val="0"/>
              <w:snapToGrid w:val="0"/>
              <w:jc w:val="center"/>
              <w:rPr>
                <w:rFonts w:hint="eastAsia" w:cs="宋体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48" w:type="dxa"/>
            <w:vMerge w:val="restart"/>
            <w:noWrap w:val="0"/>
            <w:vAlign w:val="center"/>
          </w:tcPr>
          <w:p w14:paraId="5A03F0DA"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"/>
              </w:rPr>
              <w:t>项目总工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得分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58791560">
            <w:pPr>
              <w:adjustRightInd w:val="0"/>
              <w:snapToGrid w:val="0"/>
              <w:spacing w:before="72" w:beforeLines="30" w:after="72" w:afterLines="30"/>
              <w:ind w:left="0" w:leftChars="0" w:right="72" w:rightChars="3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12.5分</w:t>
            </w:r>
          </w:p>
        </w:tc>
        <w:tc>
          <w:tcPr>
            <w:tcW w:w="3212" w:type="dxa"/>
            <w:noWrap w:val="0"/>
            <w:vAlign w:val="center"/>
          </w:tcPr>
          <w:p w14:paraId="13EFB83A"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满足招标文件资格审查条件要求的得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7.5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分。</w:t>
            </w:r>
          </w:p>
        </w:tc>
      </w:tr>
      <w:tr w14:paraId="59E5BF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095" w:type="dxa"/>
            <w:vMerge w:val="continue"/>
            <w:noWrap w:val="0"/>
            <w:vAlign w:val="center"/>
          </w:tcPr>
          <w:p w14:paraId="2A1737D8"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jc w:val="center"/>
              <w:rPr>
                <w:highlight w:val="none"/>
              </w:rPr>
            </w:pPr>
          </w:p>
        </w:tc>
        <w:tc>
          <w:tcPr>
            <w:tcW w:w="1212" w:type="dxa"/>
            <w:gridSpan w:val="2"/>
            <w:vMerge w:val="continue"/>
            <w:noWrap w:val="0"/>
            <w:vAlign w:val="center"/>
          </w:tcPr>
          <w:p w14:paraId="46939A4F"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jc w:val="center"/>
              <w:rPr>
                <w:highlight w:val="none"/>
              </w:rPr>
            </w:pPr>
          </w:p>
        </w:tc>
        <w:tc>
          <w:tcPr>
            <w:tcW w:w="1053" w:type="dxa"/>
            <w:vMerge w:val="continue"/>
            <w:noWrap w:val="0"/>
            <w:vAlign w:val="center"/>
          </w:tcPr>
          <w:p w14:paraId="063AC358"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jc w:val="center"/>
              <w:rPr>
                <w:highlight w:val="none"/>
                <w:u w:val="none"/>
              </w:rPr>
            </w:pPr>
          </w:p>
        </w:tc>
        <w:tc>
          <w:tcPr>
            <w:tcW w:w="2248" w:type="dxa"/>
            <w:vMerge w:val="continue"/>
            <w:noWrap w:val="0"/>
            <w:vAlign w:val="center"/>
          </w:tcPr>
          <w:p w14:paraId="0947A811"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0EB41752"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212" w:type="dxa"/>
            <w:noWrap w:val="0"/>
            <w:vAlign w:val="center"/>
          </w:tcPr>
          <w:p w14:paraId="1D59ADC5">
            <w:pPr>
              <w:adjustRightInd w:val="0"/>
              <w:snapToGrid w:val="0"/>
              <w:spacing w:before="72" w:beforeLines="30" w:after="72" w:afterLines="30"/>
              <w:ind w:left="72" w:leftChars="30" w:right="72" w:rightChars="3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拟任项目总工具有副高级及以上职称的加5分。</w:t>
            </w:r>
          </w:p>
        </w:tc>
      </w:tr>
      <w:tr w14:paraId="5570F5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95" w:type="dxa"/>
            <w:vMerge w:val="restart"/>
            <w:noWrap w:val="0"/>
            <w:vAlign w:val="center"/>
          </w:tcPr>
          <w:p w14:paraId="037F8B18">
            <w:pPr>
              <w:spacing w:line="48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2.2.2(3)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3447AB39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cs="宋体"/>
                <w:spacing w:val="-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0"/>
                <w:sz w:val="21"/>
                <w:szCs w:val="21"/>
                <w:highlight w:val="none"/>
              </w:rPr>
              <w:t>其</w:t>
            </w:r>
          </w:p>
          <w:p w14:paraId="4CCABAF3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cs="宋体"/>
                <w:spacing w:val="-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0"/>
                <w:sz w:val="21"/>
                <w:szCs w:val="21"/>
                <w:highlight w:val="none"/>
              </w:rPr>
              <w:t>他</w:t>
            </w:r>
          </w:p>
          <w:p w14:paraId="22332FE4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cs="宋体"/>
                <w:spacing w:val="-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0"/>
                <w:sz w:val="21"/>
                <w:szCs w:val="21"/>
                <w:highlight w:val="none"/>
              </w:rPr>
              <w:t>因</w:t>
            </w:r>
          </w:p>
          <w:p w14:paraId="0BF20991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cs="宋体"/>
                <w:spacing w:val="-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0"/>
                <w:sz w:val="21"/>
                <w:szCs w:val="21"/>
                <w:highlight w:val="none"/>
              </w:rPr>
              <w:t>素</w:t>
            </w:r>
          </w:p>
          <w:p w14:paraId="53DFC2F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592" w:type="dxa"/>
            <w:noWrap w:val="0"/>
            <w:vAlign w:val="center"/>
          </w:tcPr>
          <w:p w14:paraId="58CA260F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技术能力</w:t>
            </w:r>
          </w:p>
        </w:tc>
        <w:tc>
          <w:tcPr>
            <w:tcW w:w="1053" w:type="dxa"/>
            <w:noWrap w:val="0"/>
            <w:vAlign w:val="center"/>
          </w:tcPr>
          <w:p w14:paraId="6CE98E95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 w:cs="宋体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</w:rPr>
              <w:t>10分</w:t>
            </w:r>
          </w:p>
        </w:tc>
        <w:tc>
          <w:tcPr>
            <w:tcW w:w="6180" w:type="dxa"/>
            <w:gridSpan w:val="3"/>
            <w:noWrap w:val="0"/>
            <w:vAlign w:val="center"/>
          </w:tcPr>
          <w:p w14:paraId="28D31DBA">
            <w:pPr>
              <w:adjustRightInd w:val="0"/>
              <w:snapToGrid w:val="0"/>
              <w:spacing w:before="72" w:beforeLines="30" w:after="72" w:afterLines="30" w:line="320" w:lineRule="exact"/>
              <w:ind w:left="120" w:leftChars="50" w:right="120" w:rightChars="50"/>
              <w:rPr>
                <w:rFonts w:ascii="宋体" w:hAnsi="宋体" w:cs="宋体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满足资格审查要求的得</w:t>
            </w:r>
            <w:r>
              <w:rPr>
                <w:rFonts w:hint="eastAsia" w:cs="宋体"/>
                <w:sz w:val="21"/>
                <w:szCs w:val="21"/>
                <w:highlight w:val="none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分</w:t>
            </w:r>
            <w:r>
              <w:rPr>
                <w:rFonts w:hint="eastAsia" w:cs="宋体"/>
                <w:sz w:val="21"/>
                <w:szCs w:val="21"/>
                <w:highlight w:val="none"/>
                <w:lang w:val="en"/>
              </w:rPr>
              <w:t>。</w:t>
            </w:r>
          </w:p>
        </w:tc>
      </w:tr>
      <w:tr w14:paraId="200A3F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1095" w:type="dxa"/>
            <w:vMerge w:val="continue"/>
            <w:noWrap w:val="0"/>
            <w:vAlign w:val="center"/>
          </w:tcPr>
          <w:p w14:paraId="586B8AA2">
            <w:pPr>
              <w:spacing w:line="48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1C17A99E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592" w:type="dxa"/>
            <w:noWrap w:val="0"/>
            <w:vAlign w:val="center"/>
          </w:tcPr>
          <w:p w14:paraId="082A6F7E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履约信誉</w:t>
            </w:r>
          </w:p>
        </w:tc>
        <w:tc>
          <w:tcPr>
            <w:tcW w:w="1053" w:type="dxa"/>
            <w:noWrap w:val="0"/>
            <w:vAlign w:val="center"/>
          </w:tcPr>
          <w:p w14:paraId="53E49EA2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</w:rPr>
              <w:t>分</w:t>
            </w:r>
          </w:p>
        </w:tc>
        <w:tc>
          <w:tcPr>
            <w:tcW w:w="6180" w:type="dxa"/>
            <w:gridSpan w:val="3"/>
            <w:noWrap w:val="0"/>
            <w:vAlign w:val="center"/>
          </w:tcPr>
          <w:p w14:paraId="482BBBB4">
            <w:pPr>
              <w:adjustRightInd w:val="0"/>
              <w:snapToGrid w:val="0"/>
              <w:spacing w:before="72" w:beforeLines="30" w:after="72" w:afterLines="30" w:line="320" w:lineRule="exact"/>
              <w:ind w:left="120" w:leftChars="50" w:right="120" w:rightChars="50"/>
              <w:jc w:val="both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被评B级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含B级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以上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的得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分，C级的得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分。</w:t>
            </w:r>
          </w:p>
          <w:p w14:paraId="66F45D1E">
            <w:pPr>
              <w:adjustRightInd w:val="0"/>
              <w:snapToGrid w:val="0"/>
              <w:spacing w:before="72" w:beforeLines="30" w:after="72" w:afterLines="30" w:line="320" w:lineRule="exact"/>
              <w:ind w:left="120" w:leftChars="50" w:right="120" w:rightChars="50"/>
              <w:jc w:val="both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采用江西省交通运输厅发布的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2023年度江西省高速公路施工企业信用评价结果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（若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个序列均已评价，则以主体一类序列为准）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，未参与信用评价的从业单位均按B级信用对待。</w:t>
            </w:r>
          </w:p>
        </w:tc>
      </w:tr>
      <w:tr w14:paraId="207CCA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095" w:type="dxa"/>
            <w:vMerge w:val="continue"/>
            <w:noWrap w:val="0"/>
            <w:vAlign w:val="center"/>
          </w:tcPr>
          <w:p w14:paraId="37829819"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04B47DFF">
            <w:pPr>
              <w:adjustRightInd w:val="0"/>
              <w:snapToGrid w:val="0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592" w:type="dxa"/>
            <w:vMerge w:val="restart"/>
            <w:noWrap w:val="0"/>
            <w:vAlign w:val="center"/>
          </w:tcPr>
          <w:p w14:paraId="46A28A33">
            <w:pPr>
              <w:adjustRightInd w:val="0"/>
              <w:snapToGrid w:val="0"/>
              <w:ind w:left="210" w:hanging="210" w:hangingChars="10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业绩</w:t>
            </w:r>
          </w:p>
        </w:tc>
        <w:tc>
          <w:tcPr>
            <w:tcW w:w="1053" w:type="dxa"/>
            <w:vMerge w:val="restart"/>
            <w:noWrap w:val="0"/>
            <w:vAlign w:val="center"/>
          </w:tcPr>
          <w:p w14:paraId="78F4C2CC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</w:rPr>
              <w:t>分</w:t>
            </w:r>
          </w:p>
        </w:tc>
        <w:tc>
          <w:tcPr>
            <w:tcW w:w="6180" w:type="dxa"/>
            <w:gridSpan w:val="3"/>
            <w:noWrap w:val="0"/>
            <w:vAlign w:val="center"/>
          </w:tcPr>
          <w:p w14:paraId="41B4401F">
            <w:pPr>
              <w:adjustRightInd w:val="0"/>
              <w:snapToGrid w:val="0"/>
              <w:spacing w:before="72" w:beforeLines="30" w:after="72" w:afterLines="30" w:line="320" w:lineRule="exact"/>
              <w:ind w:left="120" w:leftChars="50" w:right="120" w:rightChars="50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满足资格审查要求的得</w:t>
            </w:r>
            <w:r>
              <w:rPr>
                <w:rFonts w:hint="eastAsia" w:cs="宋体"/>
                <w:sz w:val="21"/>
                <w:szCs w:val="21"/>
                <w:highlight w:val="none"/>
              </w:rPr>
              <w:t>基本分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分</w:t>
            </w:r>
            <w:r>
              <w:rPr>
                <w:rFonts w:hint="eastAsia" w:cs="宋体"/>
                <w:sz w:val="21"/>
                <w:szCs w:val="21"/>
                <w:highlight w:val="none"/>
              </w:rPr>
              <w:t>。</w:t>
            </w:r>
          </w:p>
        </w:tc>
      </w:tr>
      <w:tr w14:paraId="674248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095" w:type="dxa"/>
            <w:vMerge w:val="continue"/>
            <w:noWrap w:val="0"/>
            <w:vAlign w:val="center"/>
          </w:tcPr>
          <w:p w14:paraId="24718609">
            <w:pPr>
              <w:adjustRightInd w:val="0"/>
              <w:snapToGrid w:val="0"/>
              <w:spacing w:before="72" w:beforeLines="30" w:after="72" w:afterLines="30" w:line="320" w:lineRule="exact"/>
              <w:ind w:left="120" w:leftChars="50" w:right="120" w:rightChars="50"/>
              <w:rPr>
                <w:highlight w:val="none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69257E4F">
            <w:pPr>
              <w:adjustRightInd w:val="0"/>
              <w:snapToGrid w:val="0"/>
              <w:spacing w:before="72" w:beforeLines="30" w:after="72" w:afterLines="30" w:line="320" w:lineRule="exact"/>
              <w:ind w:left="120" w:leftChars="50" w:right="120" w:rightChars="50"/>
              <w:rPr>
                <w:highlight w:val="none"/>
              </w:rPr>
            </w:pPr>
          </w:p>
        </w:tc>
        <w:tc>
          <w:tcPr>
            <w:tcW w:w="592" w:type="dxa"/>
            <w:vMerge w:val="continue"/>
            <w:noWrap w:val="0"/>
            <w:vAlign w:val="center"/>
          </w:tcPr>
          <w:p w14:paraId="2C416BE7">
            <w:pPr>
              <w:adjustRightInd w:val="0"/>
              <w:snapToGrid w:val="0"/>
              <w:spacing w:before="72" w:beforeLines="30" w:after="72" w:afterLines="30" w:line="320" w:lineRule="exact"/>
              <w:ind w:left="120" w:leftChars="50" w:right="120" w:rightChars="50"/>
              <w:rPr>
                <w:highlight w:val="none"/>
              </w:rPr>
            </w:pPr>
          </w:p>
        </w:tc>
        <w:tc>
          <w:tcPr>
            <w:tcW w:w="1053" w:type="dxa"/>
            <w:vMerge w:val="continue"/>
            <w:noWrap w:val="0"/>
            <w:vAlign w:val="center"/>
          </w:tcPr>
          <w:p w14:paraId="44D6BE7C">
            <w:pPr>
              <w:adjustRightInd w:val="0"/>
              <w:snapToGrid w:val="0"/>
              <w:spacing w:before="72" w:beforeLines="30" w:after="72" w:afterLines="30" w:line="320" w:lineRule="exact"/>
              <w:ind w:left="120" w:leftChars="50" w:right="120" w:rightChars="50"/>
              <w:rPr>
                <w:highlight w:val="none"/>
              </w:rPr>
            </w:pPr>
          </w:p>
        </w:tc>
        <w:tc>
          <w:tcPr>
            <w:tcW w:w="6180" w:type="dxa"/>
            <w:gridSpan w:val="3"/>
            <w:noWrap w:val="0"/>
            <w:vAlign w:val="center"/>
          </w:tcPr>
          <w:p w14:paraId="2C3A3C19">
            <w:pPr>
              <w:adjustRightInd w:val="0"/>
              <w:snapToGrid w:val="0"/>
              <w:spacing w:before="72" w:beforeLines="30" w:after="72" w:afterLines="30" w:line="320" w:lineRule="exact"/>
              <w:ind w:left="120" w:leftChars="50" w:right="120" w:rightChars="50"/>
              <w:jc w:val="both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投标人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完成过一个合同金额不小于2200万元的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高速公路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新建或改扩建或路面养护工程施工，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加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分；本项最多加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分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 w14:paraId="45C66D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9540" w:type="dxa"/>
            <w:gridSpan w:val="7"/>
            <w:noWrap w:val="0"/>
            <w:vAlign w:val="center"/>
          </w:tcPr>
          <w:p w14:paraId="546C121A">
            <w:pPr>
              <w:adjustRightInd w:val="0"/>
              <w:snapToGrid w:val="0"/>
              <w:spacing w:before="72" w:beforeLines="30" w:after="72" w:afterLines="30" w:line="320" w:lineRule="exact"/>
              <w:ind w:left="0" w:leftChars="0" w:right="120" w:rightChars="50" w:firstLine="0" w:firstLineChars="0"/>
              <w:jc w:val="both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bookmarkStart w:id="3" w:name="_GoBack"/>
            <w:bookmarkEnd w:id="3"/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需要补充的其他内容：</w:t>
            </w:r>
          </w:p>
          <w:p w14:paraId="7266CBFE">
            <w:pPr>
              <w:adjustRightInd w:val="0"/>
              <w:snapToGrid w:val="0"/>
              <w:spacing w:before="72" w:beforeLines="30" w:after="72" w:afterLines="30" w:line="320" w:lineRule="exact"/>
              <w:ind w:left="120" w:leftChars="50" w:right="120" w:rightChars="50"/>
              <w:jc w:val="both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本项目评标办法3.6.1款不适用，删除。</w:t>
            </w:r>
          </w:p>
          <w:p w14:paraId="566F2635">
            <w:pPr>
              <w:adjustRightInd w:val="0"/>
              <w:snapToGrid w:val="0"/>
              <w:spacing w:before="72" w:beforeLines="30" w:after="72" w:afterLines="30" w:line="320" w:lineRule="exact"/>
              <w:ind w:left="120" w:leftChars="50" w:right="120" w:rightChars="50"/>
              <w:jc w:val="both"/>
              <w:rPr>
                <w:rFonts w:hint="eastAsi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2、招标人应根据项目具体情况确定各评分因素及评分因素权重分值，并对各评分因素进行细分（如有）、确定各评分因素细分项的分值，各评分因素权重分值合计应为 100 分。 各评分因素（评标价和履约信誉评分项除外） 得分一般不得低于其权重分值的 60%，且各评分因素得分应以评标委员会各成员的打分平均值确定，评标委员会成员总数为七人以上时，该平均值去掉一个最高分和一个最低分后计算。评标委员会成员对某一项评分因素的评分低于权重分值 60%的，应在评标报告中作出说明。</w:t>
            </w:r>
          </w:p>
        </w:tc>
      </w:tr>
    </w:tbl>
    <w:p w14:paraId="5125CAA7">
      <w:pPr>
        <w:pageBreakBefore w:val="0"/>
        <w:wordWrap/>
        <w:overflowPunct/>
        <w:topLinePunct w:val="0"/>
        <w:bidi w:val="0"/>
        <w:spacing w:line="240" w:lineRule="auto"/>
        <w:ind w:left="0" w:leftChars="0" w:firstLine="0" w:firstLineChars="0"/>
        <w:jc w:val="left"/>
        <w:rPr>
          <w:rFonts w:hint="default"/>
          <w:color w:val="auto"/>
          <w:highlight w:val="none"/>
        </w:rPr>
      </w:pPr>
    </w:p>
    <w:sectPr>
      <w:footerReference r:id="rId5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4649B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758C38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758C38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36A8B1"/>
    <w:multiLevelType w:val="singleLevel"/>
    <w:tmpl w:val="2036A8B1"/>
    <w:lvl w:ilvl="0" w:tentative="0">
      <w:start w:val="1"/>
      <w:numFmt w:val="decimal"/>
      <w:suff w:val="nothing"/>
      <w:lvlText w:val="（%1）"/>
      <w:lvlJc w:val="left"/>
      <w:pPr>
        <w:ind w:left="3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YzkwODM4NDY5MTQ0ODA2NGZhYTBmZGJmNjNkOTMifQ=="/>
  </w:docVars>
  <w:rsids>
    <w:rsidRoot w:val="557E1660"/>
    <w:rsid w:val="00FE0086"/>
    <w:rsid w:val="059041E1"/>
    <w:rsid w:val="106618D1"/>
    <w:rsid w:val="112F2A74"/>
    <w:rsid w:val="12731C6C"/>
    <w:rsid w:val="25315CF7"/>
    <w:rsid w:val="27E440EE"/>
    <w:rsid w:val="29B81AC5"/>
    <w:rsid w:val="2C8868D9"/>
    <w:rsid w:val="382E6954"/>
    <w:rsid w:val="3A8F71F9"/>
    <w:rsid w:val="3CFA2D1F"/>
    <w:rsid w:val="3F353E9E"/>
    <w:rsid w:val="42377429"/>
    <w:rsid w:val="4989732B"/>
    <w:rsid w:val="4D602609"/>
    <w:rsid w:val="4F6C05F9"/>
    <w:rsid w:val="51375A82"/>
    <w:rsid w:val="554B412D"/>
    <w:rsid w:val="557E1660"/>
    <w:rsid w:val="59466E0D"/>
    <w:rsid w:val="60500D64"/>
    <w:rsid w:val="6CEE0D79"/>
    <w:rsid w:val="71541077"/>
    <w:rsid w:val="74D44261"/>
    <w:rsid w:val="79E434D9"/>
    <w:rsid w:val="7ACA1375"/>
    <w:rsid w:val="7BA1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unhideWhenUsed/>
    <w:qFormat/>
    <w:uiPriority w:val="1"/>
    <w:pPr>
      <w:autoSpaceDE w:val="0"/>
      <w:autoSpaceDN w:val="0"/>
      <w:adjustRightInd w:val="0"/>
      <w:spacing w:beforeLines="0" w:afterLines="0"/>
      <w:jc w:val="left"/>
      <w:outlineLvl w:val="2"/>
    </w:pPr>
    <w:rPr>
      <w:rFonts w:hint="eastAsia" w:ascii="黑体" w:hAnsi="黑体" w:eastAsia="黑体"/>
      <w:b/>
      <w:sz w:val="44"/>
      <w:szCs w:val="2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qFormat/>
    <w:uiPriority w:val="0"/>
    <w:rPr>
      <w:sz w:val="24"/>
      <w:szCs w:val="24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adjustRightInd w:val="0"/>
      <w:snapToGrid w:val="0"/>
      <w:spacing w:beforeLines="0" w:afterLines="0"/>
      <w:jc w:val="center"/>
    </w:pPr>
    <w:rPr>
      <w:rFonts w:hint="default"/>
      <w:sz w:val="18"/>
      <w:szCs w:val="24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qFormat/>
    <w:uiPriority w:val="0"/>
    <w:pPr>
      <w:ind w:firstLine="420"/>
    </w:p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5">
    <w:name w:val="List Paragraph"/>
    <w:basedOn w:val="1"/>
    <w:qFormat/>
    <w:uiPriority w:val="1"/>
    <w:pPr>
      <w:spacing w:before="2"/>
      <w:ind w:left="1474" w:firstLine="480"/>
    </w:pPr>
    <w:rPr>
      <w:rFonts w:ascii="宋体" w:hAnsi="宋体" w:eastAsia="宋体" w:cs="宋体"/>
      <w:lang w:val="zh-CN" w:eastAsia="zh-CN" w:bidi="zh-CN"/>
    </w:r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2725</Words>
  <Characters>2969</Characters>
  <Lines>0</Lines>
  <Paragraphs>0</Paragraphs>
  <TotalTime>6</TotalTime>
  <ScaleCrop>false</ScaleCrop>
  <LinksUpToDate>false</LinksUpToDate>
  <CharactersWithSpaces>3048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2022-06-15T03:58:00Z</dcterms:created>
  <dc:creator>WPS_1600825042</dc:creator>
  <cp:lastModifiedBy>WPS_1600825042</cp:lastModifiedBy>
  <dcterms:modified xsi:type="dcterms:W3CDTF">2025-01-24T07:43:39Z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D1FEC840081E48F8BF302EAB8022B9F6</vt:lpwstr>
  </property>
  <property fmtid="{D5CDD505-2E9C-101B-9397-08002B2CF9AE}" pid="4" name="KSOTemplateDocerSaveRecord">
    <vt:lpwstr>eyJoZGlkIjoiNWZmYmQzMjkzOTE0NWNmYTI0MjdjMDYxOGNlZTFjMTciLCJ1c2VySWQiOiIxMTIyNjE1NzE5In0=</vt:lpwstr>
  </property>
</Properties>
</file>