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84F87">
      <w:pPr>
        <w:adjustRightInd w:val="0"/>
        <w:snapToGrid w:val="0"/>
        <w:spacing w:line="240" w:lineRule="auto"/>
        <w:ind w:firstLine="0" w:firstLineChars="0"/>
        <w:jc w:val="center"/>
        <w:rPr>
          <w:rFonts w:hint="eastAsia" w:ascii="宋体" w:hAnsi="宋体" w:cs="宋体"/>
          <w:b/>
          <w:bCs/>
          <w:color w:val="auto"/>
          <w:sz w:val="38"/>
          <w:szCs w:val="38"/>
          <w:highlight w:val="none"/>
          <w:lang w:eastAsia="zh-CN"/>
        </w:rPr>
      </w:pPr>
      <w:r>
        <w:rPr>
          <w:rFonts w:hint="eastAsia" w:ascii="宋体" w:hAnsi="宋体" w:cs="宋体"/>
          <w:b/>
          <w:bCs/>
          <w:color w:val="auto"/>
          <w:sz w:val="38"/>
          <w:szCs w:val="38"/>
          <w:highlight w:val="none"/>
          <w:lang w:eastAsia="zh-CN"/>
        </w:rPr>
        <w:t>大广、兴赣、信雄、绕城、宁兴、寻全高速公路</w:t>
      </w:r>
    </w:p>
    <w:p w14:paraId="4CC7A39B">
      <w:pPr>
        <w:adjustRightInd w:val="0"/>
        <w:snapToGrid w:val="0"/>
        <w:spacing w:line="240" w:lineRule="auto"/>
        <w:ind w:firstLine="0" w:firstLineChars="0"/>
        <w:jc w:val="center"/>
        <w:rPr>
          <w:rFonts w:hint="eastAsia" w:ascii="宋体" w:hAnsi="宋体" w:eastAsia="宋体" w:cs="宋体"/>
          <w:color w:val="auto"/>
          <w:sz w:val="38"/>
          <w:szCs w:val="38"/>
          <w:highlight w:val="none"/>
          <w:lang w:eastAsia="zh-CN"/>
        </w:rPr>
      </w:pPr>
      <w:r>
        <w:rPr>
          <w:rFonts w:hint="eastAsia" w:ascii="宋体" w:hAnsi="宋体" w:cs="宋体"/>
          <w:b/>
          <w:bCs/>
          <w:color w:val="auto"/>
          <w:sz w:val="38"/>
          <w:szCs w:val="38"/>
          <w:highlight w:val="none"/>
          <w:lang w:eastAsia="zh-CN"/>
        </w:rPr>
        <w:t>2024-2026年度路面技术状况检测、桥梁及隧道定期检查</w:t>
      </w:r>
      <w:r>
        <w:rPr>
          <w:rFonts w:hint="eastAsia" w:ascii="宋体" w:hAnsi="宋体" w:eastAsia="宋体" w:cs="宋体"/>
          <w:b/>
          <w:bCs/>
          <w:color w:val="auto"/>
          <w:sz w:val="38"/>
          <w:szCs w:val="38"/>
          <w:highlight w:val="none"/>
        </w:rPr>
        <w:t>招标</w:t>
      </w:r>
      <w:r>
        <w:rPr>
          <w:rFonts w:hint="eastAsia" w:ascii="宋体" w:hAnsi="宋体" w:eastAsia="宋体" w:cs="宋体"/>
          <w:b/>
          <w:bCs/>
          <w:color w:val="auto"/>
          <w:sz w:val="38"/>
          <w:szCs w:val="38"/>
          <w:highlight w:val="none"/>
          <w:lang w:eastAsia="zh-CN"/>
        </w:rPr>
        <w:t>关键内容公开</w:t>
      </w:r>
    </w:p>
    <w:p w14:paraId="054C32B2">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根据《公路工程建设项目招标投标管理办法》的规定，现对</w:t>
      </w:r>
      <w:r>
        <w:rPr>
          <w:rFonts w:hint="eastAsia" w:ascii="宋体" w:hAnsi="宋体" w:cs="宋体"/>
          <w:color w:val="auto"/>
          <w:sz w:val="24"/>
          <w:szCs w:val="24"/>
          <w:highlight w:val="none"/>
          <w:lang w:eastAsia="zh-CN"/>
        </w:rPr>
        <w:t>大广、兴赣、信雄、绕城、宁兴、寻全高速公路2024-2026年度路面技术状况检测、桥梁及隧道定期检查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文件中的关键内容进行公开：</w:t>
      </w:r>
    </w:p>
    <w:p w14:paraId="13C056C1">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一、项目概况</w:t>
      </w:r>
    </w:p>
    <w:p w14:paraId="7FFCB5E4">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eastAsia="zh-CN"/>
        </w:rPr>
        <w:t>大广、兴赣、信雄、绕城、宁兴、寻全高速公路2024-2026年度路面技术状况检测、桥梁及隧道定期检查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公告。</w:t>
      </w:r>
    </w:p>
    <w:p w14:paraId="6278E0A3">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二、投标人资格要求</w:t>
      </w:r>
    </w:p>
    <w:p w14:paraId="19D1EC60">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详见</w:t>
      </w:r>
      <w:r>
        <w:rPr>
          <w:rFonts w:hint="eastAsia" w:ascii="宋体" w:hAnsi="宋体" w:cs="宋体"/>
          <w:color w:val="auto"/>
          <w:sz w:val="24"/>
          <w:szCs w:val="24"/>
          <w:highlight w:val="none"/>
          <w:lang w:eastAsia="zh-CN"/>
        </w:rPr>
        <w:t>大广、兴赣、信雄、绕城、宁兴、寻全高速公路2024-2026年度路面技术状况检测、桥梁及隧道定期检查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公告。</w:t>
      </w:r>
    </w:p>
    <w:p w14:paraId="583BFB70">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三、评标办法</w:t>
      </w:r>
    </w:p>
    <w:p w14:paraId="7EB16280">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本次招标采用</w:t>
      </w:r>
      <w:r>
        <w:rPr>
          <w:rFonts w:hint="eastAsia" w:ascii="宋体" w:hAnsi="宋体" w:cs="宋体"/>
          <w:color w:val="auto"/>
          <w:sz w:val="24"/>
          <w:szCs w:val="24"/>
          <w:highlight w:val="none"/>
          <w:lang w:val="en-US" w:eastAsia="zh-CN"/>
        </w:rPr>
        <w:t>综合评估法</w:t>
      </w:r>
      <w:r>
        <w:rPr>
          <w:rFonts w:hint="eastAsia" w:ascii="宋体" w:hAnsi="宋体" w:eastAsia="宋体" w:cs="宋体"/>
          <w:color w:val="auto"/>
          <w:sz w:val="24"/>
          <w:szCs w:val="24"/>
          <w:highlight w:val="none"/>
        </w:rPr>
        <w:t>（详见附件）。</w:t>
      </w:r>
    </w:p>
    <w:p w14:paraId="5F0F7BBD">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四、联系方式</w:t>
      </w:r>
    </w:p>
    <w:p w14:paraId="1A4B4456">
      <w:pPr>
        <w:pStyle w:val="4"/>
        <w:kinsoku w:val="0"/>
        <w:overflowPunct w:val="0"/>
        <w:spacing w:beforeLines="0" w:afterLines="0" w:line="360" w:lineRule="auto"/>
        <w:ind w:left="0" w:firstLine="476" w:firstLineChars="200"/>
        <w:rPr>
          <w:rFonts w:hint="default"/>
          <w:color w:val="auto"/>
          <w:spacing w:val="-1"/>
          <w:sz w:val="24"/>
          <w:szCs w:val="24"/>
          <w:highlight w:val="none"/>
          <w:lang w:eastAsia="zh-CN"/>
        </w:rPr>
      </w:pPr>
      <w:r>
        <w:rPr>
          <w:rFonts w:hint="default"/>
          <w:color w:val="auto"/>
          <w:spacing w:val="-1"/>
          <w:sz w:val="24"/>
          <w:szCs w:val="24"/>
          <w:highlight w:val="none"/>
        </w:rPr>
        <w:t>招标人：</w:t>
      </w:r>
      <w:r>
        <w:rPr>
          <w:rFonts w:hint="eastAsia"/>
          <w:color w:val="auto"/>
          <w:spacing w:val="-1"/>
          <w:sz w:val="24"/>
          <w:szCs w:val="24"/>
          <w:highlight w:val="none"/>
          <w:lang w:eastAsia="zh-CN"/>
        </w:rPr>
        <w:t>赣州交通控股集团有限公司</w:t>
      </w:r>
    </w:p>
    <w:p w14:paraId="59B2D177">
      <w:pPr>
        <w:pStyle w:val="4"/>
        <w:kinsoku w:val="0"/>
        <w:overflowPunct w:val="0"/>
        <w:spacing w:beforeLines="0" w:afterLines="0" w:line="360" w:lineRule="auto"/>
        <w:ind w:left="0" w:firstLine="476" w:firstLineChars="200"/>
        <w:rPr>
          <w:rFonts w:hint="default"/>
          <w:color w:val="auto"/>
          <w:spacing w:val="20"/>
          <w:sz w:val="24"/>
          <w:szCs w:val="24"/>
          <w:highlight w:val="none"/>
        </w:rPr>
      </w:pPr>
      <w:r>
        <w:rPr>
          <w:rFonts w:hint="default"/>
          <w:color w:val="auto"/>
          <w:spacing w:val="-1"/>
          <w:sz w:val="24"/>
          <w:szCs w:val="24"/>
          <w:highlight w:val="none"/>
        </w:rPr>
        <w:t>地</w:t>
      </w:r>
      <w:r>
        <w:rPr>
          <w:rFonts w:hint="default"/>
          <w:color w:val="auto"/>
          <w:sz w:val="24"/>
          <w:szCs w:val="24"/>
          <w:highlight w:val="none"/>
        </w:rPr>
        <w:t xml:space="preserve">   址：江西省赣州市章贡区沙河镇赣州绕城高速赣州东出口</w:t>
      </w:r>
      <w:r>
        <w:rPr>
          <w:rFonts w:hint="default"/>
          <w:color w:val="auto"/>
          <w:spacing w:val="20"/>
          <w:sz w:val="24"/>
          <w:szCs w:val="24"/>
          <w:highlight w:val="none"/>
        </w:rPr>
        <w:t xml:space="preserve"> </w:t>
      </w:r>
    </w:p>
    <w:p w14:paraId="183E4982">
      <w:pPr>
        <w:pStyle w:val="4"/>
        <w:kinsoku w:val="0"/>
        <w:overflowPunct w:val="0"/>
        <w:spacing w:beforeLines="0" w:afterLines="0" w:line="360" w:lineRule="auto"/>
        <w:ind w:left="0" w:firstLine="476" w:firstLineChars="200"/>
        <w:rPr>
          <w:rFonts w:hint="default"/>
          <w:color w:val="auto"/>
          <w:sz w:val="24"/>
          <w:szCs w:val="24"/>
          <w:highlight w:val="none"/>
        </w:rPr>
      </w:pPr>
      <w:r>
        <w:rPr>
          <w:rFonts w:hint="default"/>
          <w:color w:val="auto"/>
          <w:spacing w:val="-1"/>
          <w:sz w:val="24"/>
          <w:szCs w:val="24"/>
          <w:highlight w:val="none"/>
        </w:rPr>
        <w:t>邮</w:t>
      </w:r>
      <w:r>
        <w:rPr>
          <w:rFonts w:hint="default"/>
          <w:color w:val="auto"/>
          <w:sz w:val="24"/>
          <w:szCs w:val="24"/>
          <w:highlight w:val="none"/>
        </w:rPr>
        <w:t xml:space="preserve"> </w:t>
      </w:r>
      <w:r>
        <w:rPr>
          <w:rFonts w:hint="default"/>
          <w:color w:val="auto"/>
          <w:spacing w:val="120"/>
          <w:sz w:val="24"/>
          <w:szCs w:val="24"/>
          <w:highlight w:val="none"/>
        </w:rPr>
        <w:t xml:space="preserve"> </w:t>
      </w:r>
      <w:r>
        <w:rPr>
          <w:rFonts w:hint="default"/>
          <w:color w:val="auto"/>
          <w:sz w:val="24"/>
          <w:szCs w:val="24"/>
          <w:highlight w:val="none"/>
        </w:rPr>
        <w:t>编：341000</w:t>
      </w:r>
    </w:p>
    <w:p w14:paraId="46B7E91F">
      <w:pPr>
        <w:pStyle w:val="4"/>
        <w:kinsoku w:val="0"/>
        <w:overflowPunct w:val="0"/>
        <w:spacing w:beforeLines="0" w:afterLines="0" w:line="360" w:lineRule="auto"/>
        <w:ind w:left="0" w:firstLine="476" w:firstLineChars="200"/>
        <w:rPr>
          <w:rFonts w:hint="default"/>
          <w:color w:val="auto"/>
          <w:sz w:val="24"/>
          <w:szCs w:val="24"/>
          <w:highlight w:val="none"/>
        </w:rPr>
      </w:pPr>
      <w:r>
        <w:rPr>
          <w:rFonts w:hint="default"/>
          <w:color w:val="auto"/>
          <w:spacing w:val="-1"/>
          <w:sz w:val="24"/>
          <w:szCs w:val="24"/>
          <w:highlight w:val="none"/>
        </w:rPr>
        <w:t>联系人：</w:t>
      </w:r>
      <w:r>
        <w:rPr>
          <w:rFonts w:hint="eastAsia"/>
          <w:color w:val="auto"/>
          <w:spacing w:val="-1"/>
          <w:sz w:val="24"/>
          <w:szCs w:val="24"/>
          <w:highlight w:val="none"/>
          <w:lang w:eastAsia="zh-CN"/>
        </w:rPr>
        <w:t>杨先生</w:t>
      </w:r>
      <w:r>
        <w:rPr>
          <w:rFonts w:hint="default"/>
          <w:color w:val="auto"/>
          <w:sz w:val="24"/>
          <w:szCs w:val="24"/>
          <w:highlight w:val="none"/>
        </w:rPr>
        <w:t xml:space="preserve"> </w:t>
      </w:r>
    </w:p>
    <w:p w14:paraId="69F742C5">
      <w:pPr>
        <w:pStyle w:val="4"/>
        <w:kinsoku w:val="0"/>
        <w:overflowPunct w:val="0"/>
        <w:spacing w:beforeLines="0" w:afterLines="0" w:line="360" w:lineRule="auto"/>
        <w:ind w:left="0" w:firstLine="476" w:firstLineChars="200"/>
        <w:rPr>
          <w:rFonts w:hint="default"/>
          <w:color w:val="auto"/>
          <w:spacing w:val="20"/>
          <w:sz w:val="24"/>
          <w:szCs w:val="24"/>
          <w:highlight w:val="none"/>
        </w:rPr>
      </w:pPr>
      <w:r>
        <w:rPr>
          <w:rFonts w:hint="default"/>
          <w:color w:val="auto"/>
          <w:spacing w:val="-1"/>
          <w:sz w:val="24"/>
          <w:szCs w:val="24"/>
          <w:highlight w:val="none"/>
        </w:rPr>
        <w:t>电</w:t>
      </w:r>
      <w:r>
        <w:rPr>
          <w:rFonts w:hint="default"/>
          <w:color w:val="auto"/>
          <w:sz w:val="24"/>
          <w:szCs w:val="24"/>
          <w:highlight w:val="none"/>
        </w:rPr>
        <w:t xml:space="preserve">   话：0797-8289692</w:t>
      </w:r>
      <w:r>
        <w:rPr>
          <w:rFonts w:hint="default"/>
          <w:color w:val="auto"/>
          <w:spacing w:val="20"/>
          <w:sz w:val="24"/>
          <w:szCs w:val="24"/>
          <w:highlight w:val="none"/>
        </w:rPr>
        <w:t xml:space="preserve"> </w:t>
      </w:r>
    </w:p>
    <w:p w14:paraId="6ABD88ED">
      <w:pPr>
        <w:pStyle w:val="4"/>
        <w:kinsoku w:val="0"/>
        <w:overflowPunct w:val="0"/>
        <w:spacing w:beforeLines="0" w:afterLines="0" w:line="360" w:lineRule="auto"/>
        <w:ind w:left="0" w:firstLine="476" w:firstLineChars="200"/>
        <w:rPr>
          <w:rFonts w:hint="default"/>
          <w:color w:val="auto"/>
          <w:sz w:val="24"/>
          <w:szCs w:val="24"/>
          <w:highlight w:val="none"/>
        </w:rPr>
      </w:pPr>
      <w:r>
        <w:rPr>
          <w:rFonts w:hint="default"/>
          <w:color w:val="auto"/>
          <w:spacing w:val="-1"/>
          <w:sz w:val="24"/>
          <w:szCs w:val="24"/>
          <w:highlight w:val="none"/>
        </w:rPr>
        <w:t>传</w:t>
      </w:r>
      <w:r>
        <w:rPr>
          <w:rFonts w:hint="default"/>
          <w:color w:val="auto"/>
          <w:sz w:val="24"/>
          <w:szCs w:val="24"/>
          <w:highlight w:val="none"/>
        </w:rPr>
        <w:t xml:space="preserve">   真：0797-8289692</w:t>
      </w:r>
    </w:p>
    <w:p w14:paraId="7460AD5A">
      <w:pPr>
        <w:pStyle w:val="4"/>
        <w:kinsoku w:val="0"/>
        <w:overflowPunct w:val="0"/>
        <w:spacing w:beforeLines="0" w:afterLines="0" w:line="360" w:lineRule="auto"/>
        <w:ind w:left="0" w:firstLine="400" w:firstLineChars="200"/>
        <w:rPr>
          <w:rFonts w:hint="default"/>
          <w:color w:val="auto"/>
          <w:sz w:val="20"/>
          <w:szCs w:val="24"/>
          <w:highlight w:val="none"/>
        </w:rPr>
      </w:pPr>
    </w:p>
    <w:p w14:paraId="39C7627D">
      <w:pPr>
        <w:pStyle w:val="4"/>
        <w:kinsoku w:val="0"/>
        <w:overflowPunct w:val="0"/>
        <w:spacing w:beforeLines="0" w:afterLines="0" w:line="360" w:lineRule="auto"/>
        <w:ind w:left="0" w:firstLine="480" w:firstLineChars="200"/>
        <w:rPr>
          <w:rFonts w:hint="eastAsia" w:eastAsia="宋体"/>
          <w:color w:val="auto"/>
          <w:sz w:val="24"/>
          <w:szCs w:val="24"/>
          <w:highlight w:val="none"/>
          <w:lang w:eastAsia="zh-CN"/>
        </w:rPr>
      </w:pPr>
      <w:r>
        <w:rPr>
          <w:rFonts w:hint="default"/>
          <w:color w:val="auto"/>
          <w:sz w:val="24"/>
          <w:szCs w:val="24"/>
          <w:highlight w:val="none"/>
        </w:rPr>
        <w:t>招标代理机构：</w:t>
      </w:r>
      <w:r>
        <w:rPr>
          <w:rFonts w:hint="eastAsia"/>
          <w:color w:val="auto"/>
          <w:sz w:val="24"/>
          <w:szCs w:val="24"/>
          <w:highlight w:val="none"/>
          <w:lang w:eastAsia="zh-CN"/>
        </w:rPr>
        <w:t>江西省赣南公路勘察设计院有限公司</w:t>
      </w:r>
    </w:p>
    <w:p w14:paraId="07887CE4">
      <w:pPr>
        <w:pStyle w:val="4"/>
        <w:kinsoku w:val="0"/>
        <w:overflowPunct w:val="0"/>
        <w:spacing w:beforeLines="0" w:afterLines="0" w:line="360" w:lineRule="auto"/>
        <w:ind w:left="0" w:firstLine="476" w:firstLineChars="200"/>
        <w:rPr>
          <w:rFonts w:hint="default"/>
          <w:color w:val="auto"/>
          <w:sz w:val="24"/>
          <w:szCs w:val="24"/>
          <w:highlight w:val="none"/>
        </w:rPr>
      </w:pPr>
      <w:r>
        <w:rPr>
          <w:rFonts w:hint="default"/>
          <w:color w:val="auto"/>
          <w:spacing w:val="-1"/>
          <w:sz w:val="24"/>
          <w:szCs w:val="24"/>
          <w:highlight w:val="none"/>
        </w:rPr>
        <w:t>地</w:t>
      </w:r>
      <w:r>
        <w:rPr>
          <w:rFonts w:hint="default"/>
          <w:color w:val="auto"/>
          <w:sz w:val="24"/>
          <w:szCs w:val="24"/>
          <w:highlight w:val="none"/>
        </w:rPr>
        <w:t xml:space="preserve">        址：赣州市章江新区赞贤路</w:t>
      </w:r>
      <w:r>
        <w:rPr>
          <w:rFonts w:hint="default"/>
          <w:color w:val="auto"/>
          <w:spacing w:val="-60"/>
          <w:sz w:val="24"/>
          <w:szCs w:val="24"/>
          <w:highlight w:val="none"/>
        </w:rPr>
        <w:t xml:space="preserve"> </w:t>
      </w:r>
      <w:r>
        <w:rPr>
          <w:rFonts w:hint="default"/>
          <w:color w:val="auto"/>
          <w:sz w:val="24"/>
          <w:szCs w:val="24"/>
          <w:highlight w:val="none"/>
        </w:rPr>
        <w:t>36</w:t>
      </w:r>
      <w:r>
        <w:rPr>
          <w:rFonts w:hint="default"/>
          <w:color w:val="auto"/>
          <w:spacing w:val="-60"/>
          <w:sz w:val="24"/>
          <w:szCs w:val="24"/>
          <w:highlight w:val="none"/>
        </w:rPr>
        <w:t xml:space="preserve"> </w:t>
      </w:r>
      <w:r>
        <w:rPr>
          <w:rFonts w:hint="default"/>
          <w:color w:val="auto"/>
          <w:sz w:val="24"/>
          <w:szCs w:val="24"/>
          <w:highlight w:val="none"/>
        </w:rPr>
        <w:t>号</w:t>
      </w:r>
    </w:p>
    <w:p w14:paraId="1D364C0B">
      <w:pPr>
        <w:pStyle w:val="4"/>
        <w:kinsoku w:val="0"/>
        <w:overflowPunct w:val="0"/>
        <w:spacing w:beforeLines="0" w:afterLines="0" w:line="360" w:lineRule="auto"/>
        <w:ind w:left="0" w:firstLine="476" w:firstLineChars="200"/>
        <w:rPr>
          <w:rFonts w:hint="default"/>
          <w:color w:val="auto"/>
          <w:sz w:val="24"/>
          <w:szCs w:val="24"/>
          <w:highlight w:val="none"/>
          <w:lang w:eastAsia="zh-CN"/>
        </w:rPr>
      </w:pPr>
      <w:r>
        <w:rPr>
          <w:rFonts w:hint="default"/>
          <w:color w:val="auto"/>
          <w:spacing w:val="-1"/>
          <w:sz w:val="24"/>
          <w:szCs w:val="24"/>
          <w:highlight w:val="none"/>
        </w:rPr>
        <w:t>联</w:t>
      </w:r>
      <w:r>
        <w:rPr>
          <w:rFonts w:hint="default"/>
          <w:color w:val="auto"/>
          <w:sz w:val="24"/>
          <w:szCs w:val="24"/>
          <w:highlight w:val="none"/>
        </w:rPr>
        <w:t xml:space="preserve"> </w:t>
      </w:r>
      <w:r>
        <w:rPr>
          <w:rFonts w:hint="default"/>
          <w:color w:val="auto"/>
          <w:spacing w:val="120"/>
          <w:sz w:val="24"/>
          <w:szCs w:val="24"/>
          <w:highlight w:val="none"/>
        </w:rPr>
        <w:t xml:space="preserve"> </w:t>
      </w:r>
      <w:r>
        <w:rPr>
          <w:rFonts w:hint="default"/>
          <w:color w:val="auto"/>
          <w:sz w:val="24"/>
          <w:szCs w:val="24"/>
          <w:highlight w:val="none"/>
        </w:rPr>
        <w:t xml:space="preserve">系 </w:t>
      </w:r>
      <w:r>
        <w:rPr>
          <w:rFonts w:hint="default"/>
          <w:color w:val="auto"/>
          <w:sz w:val="24"/>
          <w:szCs w:val="24"/>
          <w:highlight w:val="none"/>
          <w:lang w:val="en-US" w:eastAsia="zh-CN"/>
        </w:rPr>
        <w:t xml:space="preserve">  </w:t>
      </w:r>
      <w:r>
        <w:rPr>
          <w:rFonts w:hint="default"/>
          <w:color w:val="auto"/>
          <w:sz w:val="24"/>
          <w:szCs w:val="24"/>
          <w:highlight w:val="none"/>
        </w:rPr>
        <w:t>人：</w:t>
      </w:r>
      <w:r>
        <w:rPr>
          <w:rFonts w:hint="default"/>
          <w:color w:val="auto"/>
          <w:sz w:val="24"/>
          <w:szCs w:val="24"/>
          <w:highlight w:val="none"/>
          <w:lang w:eastAsia="zh-CN"/>
        </w:rPr>
        <w:t>赖工</w:t>
      </w:r>
    </w:p>
    <w:p w14:paraId="0D8731E1">
      <w:pPr>
        <w:pStyle w:val="4"/>
        <w:kinsoku w:val="0"/>
        <w:overflowPunct w:val="0"/>
        <w:spacing w:beforeLines="0" w:afterLines="0" w:line="360" w:lineRule="auto"/>
        <w:ind w:left="0" w:firstLine="476" w:firstLineChars="200"/>
        <w:rPr>
          <w:rFonts w:hint="default"/>
          <w:color w:val="auto"/>
          <w:spacing w:val="20"/>
          <w:sz w:val="24"/>
          <w:szCs w:val="24"/>
          <w:highlight w:val="none"/>
        </w:rPr>
      </w:pPr>
      <w:r>
        <w:rPr>
          <w:rFonts w:hint="default"/>
          <w:color w:val="auto"/>
          <w:spacing w:val="-1"/>
          <w:sz w:val="24"/>
          <w:szCs w:val="24"/>
          <w:highlight w:val="none"/>
        </w:rPr>
        <w:t>电</w:t>
      </w:r>
      <w:r>
        <w:rPr>
          <w:rFonts w:hint="default"/>
          <w:color w:val="auto"/>
          <w:sz w:val="24"/>
          <w:szCs w:val="24"/>
          <w:highlight w:val="none"/>
        </w:rPr>
        <w:t xml:space="preserve">     </w:t>
      </w:r>
      <w:r>
        <w:rPr>
          <w:rFonts w:hint="default"/>
          <w:color w:val="auto"/>
          <w:spacing w:val="120"/>
          <w:sz w:val="24"/>
          <w:szCs w:val="24"/>
          <w:highlight w:val="none"/>
        </w:rPr>
        <w:t xml:space="preserve"> </w:t>
      </w:r>
      <w:r>
        <w:rPr>
          <w:rFonts w:hint="default"/>
          <w:color w:val="auto"/>
          <w:sz w:val="24"/>
          <w:szCs w:val="24"/>
          <w:highlight w:val="none"/>
        </w:rPr>
        <w:t>话： 0797-8088235</w:t>
      </w:r>
      <w:r>
        <w:rPr>
          <w:rFonts w:hint="default"/>
          <w:color w:val="auto"/>
          <w:spacing w:val="20"/>
          <w:sz w:val="24"/>
          <w:szCs w:val="24"/>
          <w:highlight w:val="none"/>
        </w:rPr>
        <w:t xml:space="preserve"> </w:t>
      </w:r>
    </w:p>
    <w:p w14:paraId="1A92D650">
      <w:pPr>
        <w:pStyle w:val="4"/>
        <w:kinsoku w:val="0"/>
        <w:overflowPunct w:val="0"/>
        <w:spacing w:beforeLines="0" w:afterLines="0" w:line="360" w:lineRule="auto"/>
        <w:ind w:left="0" w:firstLine="476" w:firstLineChars="200"/>
        <w:rPr>
          <w:rFonts w:hint="default"/>
          <w:color w:val="auto"/>
          <w:spacing w:val="-1"/>
          <w:sz w:val="24"/>
          <w:szCs w:val="24"/>
          <w:highlight w:val="none"/>
        </w:rPr>
      </w:pPr>
      <w:r>
        <w:rPr>
          <w:rFonts w:hint="default"/>
          <w:color w:val="auto"/>
          <w:spacing w:val="-1"/>
          <w:sz w:val="24"/>
          <w:szCs w:val="24"/>
          <w:highlight w:val="none"/>
        </w:rPr>
        <w:t>电子邮件：</w:t>
      </w:r>
      <w:r>
        <w:rPr>
          <w:rFonts w:hint="default"/>
          <w:color w:val="auto"/>
          <w:spacing w:val="-1"/>
          <w:sz w:val="24"/>
          <w:szCs w:val="24"/>
          <w:highlight w:val="none"/>
        </w:rPr>
        <w:fldChar w:fldCharType="begin"/>
      </w:r>
      <w:r>
        <w:rPr>
          <w:rFonts w:hint="default"/>
          <w:color w:val="auto"/>
          <w:spacing w:val="-1"/>
          <w:sz w:val="24"/>
          <w:szCs w:val="24"/>
          <w:highlight w:val="none"/>
        </w:rPr>
        <w:instrText xml:space="preserve"> HYPERLINK "mailto:gnglkcsjy@163.com" </w:instrText>
      </w:r>
      <w:r>
        <w:rPr>
          <w:rFonts w:hint="default"/>
          <w:color w:val="auto"/>
          <w:spacing w:val="-1"/>
          <w:sz w:val="24"/>
          <w:szCs w:val="24"/>
          <w:highlight w:val="none"/>
        </w:rPr>
        <w:fldChar w:fldCharType="separate"/>
      </w:r>
      <w:r>
        <w:rPr>
          <w:rFonts w:hint="default"/>
          <w:color w:val="auto"/>
          <w:spacing w:val="-1"/>
          <w:sz w:val="24"/>
          <w:szCs w:val="24"/>
          <w:highlight w:val="none"/>
        </w:rPr>
        <w:t>gnglkcsjy@163.com</w:t>
      </w:r>
      <w:r>
        <w:rPr>
          <w:rFonts w:hint="default"/>
          <w:color w:val="auto"/>
          <w:spacing w:val="-1"/>
          <w:sz w:val="24"/>
          <w:szCs w:val="24"/>
          <w:highlight w:val="none"/>
        </w:rPr>
        <w:fldChar w:fldCharType="end"/>
      </w:r>
    </w:p>
    <w:p w14:paraId="1EEE40F2">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sz w:val="24"/>
          <w:szCs w:val="24"/>
          <w:highlight w:val="none"/>
          <w:lang w:val="en-US" w:eastAsia="zh-CN"/>
        </w:rPr>
        <w:sectPr>
          <w:pgSz w:w="11906" w:h="16838"/>
          <w:pgMar w:top="1440" w:right="1800" w:bottom="1440" w:left="1800" w:header="851" w:footer="992" w:gutter="0"/>
          <w:cols w:space="425" w:num="1"/>
          <w:docGrid w:type="lines" w:linePitch="312" w:charSpace="0"/>
        </w:sectPr>
      </w:pPr>
    </w:p>
    <w:p w14:paraId="4895F7C5">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bookmarkStart w:id="0" w:name="_Toc9094"/>
      <w:r>
        <w:rPr>
          <w:rFonts w:hint="eastAsia" w:ascii="宋体" w:hAnsi="宋体" w:eastAsia="宋体" w:cs="宋体"/>
          <w:b/>
          <w:bCs/>
          <w:color w:val="auto"/>
          <w:sz w:val="24"/>
          <w:szCs w:val="24"/>
          <w:highlight w:val="none"/>
          <w:lang w:val="en-US" w:eastAsia="zh-CN"/>
        </w:rPr>
        <w:t>评标办法</w:t>
      </w:r>
    </w:p>
    <w:bookmarkEnd w:id="0"/>
    <w:tbl>
      <w:tblPr>
        <w:tblStyle w:val="10"/>
        <w:tblW w:w="8522"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518"/>
        <w:gridCol w:w="382"/>
        <w:gridCol w:w="2045"/>
        <w:gridCol w:w="4691"/>
      </w:tblGrid>
      <w:tr w14:paraId="19E02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86" w:type="dxa"/>
            <w:gridSpan w:val="3"/>
            <w:noWrap w:val="0"/>
            <w:vAlign w:val="top"/>
          </w:tcPr>
          <w:p w14:paraId="768778B7">
            <w:pPr>
              <w:pStyle w:val="13"/>
              <w:keepNext w:val="0"/>
              <w:keepLines w:val="0"/>
              <w:pageBreakBefore w:val="0"/>
              <w:widowControl w:val="0"/>
              <w:kinsoku/>
              <w:wordWrap/>
              <w:topLinePunct w:val="0"/>
              <w:autoSpaceDE w:val="0"/>
              <w:autoSpaceDN w:val="0"/>
              <w:bidi w:val="0"/>
              <w:snapToGrid/>
              <w:spacing w:before="130" w:line="250" w:lineRule="exact"/>
              <w:ind w:left="120" w:leftChars="50" w:right="0" w:rightChars="0"/>
              <w:jc w:val="center"/>
              <w:textAlignment w:val="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条款号</w:t>
            </w:r>
          </w:p>
        </w:tc>
        <w:tc>
          <w:tcPr>
            <w:tcW w:w="6736" w:type="dxa"/>
            <w:gridSpan w:val="2"/>
            <w:noWrap w:val="0"/>
            <w:vAlign w:val="top"/>
          </w:tcPr>
          <w:p w14:paraId="7A96D35E">
            <w:pPr>
              <w:pStyle w:val="13"/>
              <w:spacing w:before="130" w:line="250" w:lineRule="exact"/>
              <w:ind w:left="2341" w:right="2329"/>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评审因素与评审标准</w:t>
            </w:r>
          </w:p>
        </w:tc>
      </w:tr>
      <w:tr w14:paraId="3B55B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886" w:type="dxa"/>
            <w:noWrap w:val="0"/>
            <w:vAlign w:val="top"/>
          </w:tcPr>
          <w:p w14:paraId="7338721C">
            <w:pPr>
              <w:pStyle w:val="13"/>
              <w:keepNext w:val="0"/>
              <w:keepLines w:val="0"/>
              <w:pageBreakBefore w:val="0"/>
              <w:widowControl w:val="0"/>
              <w:kinsoku/>
              <w:wordWrap/>
              <w:topLinePunct w:val="0"/>
              <w:autoSpaceDE w:val="0"/>
              <w:autoSpaceDN w:val="0"/>
              <w:bidi w:val="0"/>
              <w:snapToGrid/>
              <w:ind w:left="120" w:leftChars="50" w:right="0" w:rightChars="0"/>
              <w:jc w:val="center"/>
              <w:textAlignment w:val="auto"/>
              <w:rPr>
                <w:rFonts w:hint="eastAsia" w:ascii="宋体" w:hAnsi="宋体" w:eastAsia="宋体" w:cs="宋体"/>
                <w:b/>
                <w:color w:val="auto"/>
                <w:highlight w:val="none"/>
              </w:rPr>
            </w:pPr>
          </w:p>
          <w:p w14:paraId="3160BA55">
            <w:pPr>
              <w:pStyle w:val="13"/>
              <w:keepNext w:val="0"/>
              <w:keepLines w:val="0"/>
              <w:pageBreakBefore w:val="0"/>
              <w:widowControl w:val="0"/>
              <w:kinsoku/>
              <w:wordWrap/>
              <w:topLinePunct w:val="0"/>
              <w:autoSpaceDE w:val="0"/>
              <w:autoSpaceDN w:val="0"/>
              <w:bidi w:val="0"/>
              <w:snapToGrid/>
              <w:ind w:left="120" w:leftChars="50" w:right="0" w:rightChars="0"/>
              <w:jc w:val="center"/>
              <w:textAlignment w:val="auto"/>
              <w:rPr>
                <w:rFonts w:hint="eastAsia" w:ascii="宋体" w:hAnsi="宋体" w:eastAsia="宋体" w:cs="宋体"/>
                <w:b/>
                <w:color w:val="auto"/>
                <w:highlight w:val="none"/>
              </w:rPr>
            </w:pPr>
          </w:p>
          <w:p w14:paraId="2531A7E7">
            <w:pPr>
              <w:pStyle w:val="13"/>
              <w:keepNext w:val="0"/>
              <w:keepLines w:val="0"/>
              <w:pageBreakBefore w:val="0"/>
              <w:widowControl w:val="0"/>
              <w:kinsoku/>
              <w:wordWrap/>
              <w:topLinePunct w:val="0"/>
              <w:autoSpaceDE w:val="0"/>
              <w:autoSpaceDN w:val="0"/>
              <w:bidi w:val="0"/>
              <w:snapToGrid/>
              <w:spacing w:before="187"/>
              <w:ind w:left="120" w:leftChars="50" w:right="0" w:rightChars="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900" w:type="dxa"/>
            <w:gridSpan w:val="2"/>
            <w:noWrap w:val="0"/>
            <w:vAlign w:val="top"/>
          </w:tcPr>
          <w:p w14:paraId="38F0A23A">
            <w:pPr>
              <w:pStyle w:val="13"/>
              <w:keepNext w:val="0"/>
              <w:keepLines w:val="0"/>
              <w:pageBreakBefore w:val="0"/>
              <w:widowControl w:val="0"/>
              <w:kinsoku/>
              <w:wordWrap/>
              <w:topLinePunct w:val="0"/>
              <w:autoSpaceDE w:val="0"/>
              <w:autoSpaceDN w:val="0"/>
              <w:bidi w:val="0"/>
              <w:snapToGrid/>
              <w:ind w:left="120" w:leftChars="50" w:right="0" w:rightChars="0"/>
              <w:jc w:val="center"/>
              <w:textAlignment w:val="auto"/>
              <w:rPr>
                <w:rFonts w:hint="eastAsia" w:ascii="宋体" w:hAnsi="宋体" w:eastAsia="宋体" w:cs="宋体"/>
                <w:b/>
                <w:color w:val="auto"/>
                <w:sz w:val="20"/>
                <w:highlight w:val="none"/>
              </w:rPr>
            </w:pPr>
          </w:p>
          <w:p w14:paraId="295C4FAF">
            <w:pPr>
              <w:pStyle w:val="13"/>
              <w:keepNext w:val="0"/>
              <w:keepLines w:val="0"/>
              <w:pageBreakBefore w:val="0"/>
              <w:widowControl w:val="0"/>
              <w:kinsoku/>
              <w:wordWrap/>
              <w:topLinePunct w:val="0"/>
              <w:autoSpaceDE w:val="0"/>
              <w:autoSpaceDN w:val="0"/>
              <w:bidi w:val="0"/>
              <w:snapToGrid/>
              <w:spacing w:before="10"/>
              <w:ind w:left="120" w:leftChars="50" w:right="0" w:rightChars="0"/>
              <w:jc w:val="center"/>
              <w:textAlignment w:val="auto"/>
              <w:rPr>
                <w:rFonts w:hint="eastAsia" w:ascii="宋体" w:hAnsi="宋体" w:eastAsia="宋体" w:cs="宋体"/>
                <w:b/>
                <w:color w:val="auto"/>
                <w:sz w:val="18"/>
                <w:highlight w:val="none"/>
              </w:rPr>
            </w:pPr>
          </w:p>
          <w:p w14:paraId="237E63AA">
            <w:pPr>
              <w:pStyle w:val="13"/>
              <w:keepNext w:val="0"/>
              <w:keepLines w:val="0"/>
              <w:pageBreakBefore w:val="0"/>
              <w:widowControl w:val="0"/>
              <w:kinsoku/>
              <w:wordWrap/>
              <w:topLinePunct w:val="0"/>
              <w:autoSpaceDE w:val="0"/>
              <w:autoSpaceDN w:val="0"/>
              <w:bidi w:val="0"/>
              <w:snapToGrid/>
              <w:ind w:left="0" w:leftChars="0" w:right="0" w:rightChars="0" w:firstLine="0" w:firstLineChars="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评标方法</w:t>
            </w:r>
          </w:p>
        </w:tc>
        <w:tc>
          <w:tcPr>
            <w:tcW w:w="6736" w:type="dxa"/>
            <w:gridSpan w:val="2"/>
            <w:noWrap w:val="0"/>
            <w:vAlign w:val="top"/>
          </w:tcPr>
          <w:p w14:paraId="2604A174">
            <w:pPr>
              <w:pStyle w:val="13"/>
              <w:keepNext w:val="0"/>
              <w:keepLines w:val="0"/>
              <w:pageBreakBefore w:val="0"/>
              <w:numPr>
                <w:ilvl w:val="0"/>
                <w:numId w:val="0"/>
              </w:numPr>
              <w:kinsoku/>
              <w:wordWrap/>
              <w:overflowPunct w:val="0"/>
              <w:topLinePunct w:val="0"/>
              <w:autoSpaceDE w:val="0"/>
              <w:autoSpaceDN w:val="0"/>
              <w:bidi w:val="0"/>
              <w:adjustRightInd w:val="0"/>
              <w:snapToGrid/>
              <w:spacing w:beforeLines="0" w:afterLines="0" w:line="320" w:lineRule="exact"/>
              <w:ind w:leftChars="50" w:right="120" w:rightChars="50"/>
              <w:jc w:val="both"/>
              <w:textAlignment w:val="auto"/>
              <w:rPr>
                <w:rFonts w:hint="eastAsia" w:ascii="宋体" w:hAnsi="宋体"/>
                <w:color w:val="000000"/>
                <w:spacing w:val="0"/>
                <w:sz w:val="21"/>
                <w:highlight w:val="none"/>
              </w:rPr>
            </w:pPr>
            <w:r>
              <w:rPr>
                <w:rFonts w:hint="eastAsia" w:ascii="宋体" w:hAnsi="宋体"/>
                <w:color w:val="000000"/>
                <w:spacing w:val="0"/>
                <w:sz w:val="21"/>
                <w:highlight w:val="none"/>
              </w:rPr>
              <w:t>综合评分相等时，评标委员会依次按照以下优先顺序推荐中标候选人或确定中标人：</w:t>
            </w:r>
          </w:p>
          <w:p w14:paraId="14551F93">
            <w:pPr>
              <w:pStyle w:val="13"/>
              <w:keepNext w:val="0"/>
              <w:keepLines w:val="0"/>
              <w:pageBreakBefore w:val="0"/>
              <w:numPr>
                <w:ilvl w:val="0"/>
                <w:numId w:val="1"/>
              </w:numPr>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both"/>
              <w:textAlignment w:val="auto"/>
              <w:rPr>
                <w:rFonts w:hint="eastAsia" w:ascii="宋体" w:hAnsi="宋体"/>
                <w:color w:val="000000"/>
                <w:spacing w:val="0"/>
                <w:sz w:val="21"/>
                <w:highlight w:val="none"/>
              </w:rPr>
            </w:pPr>
            <w:r>
              <w:rPr>
                <w:rFonts w:hint="eastAsia" w:ascii="宋体" w:hAnsi="宋体"/>
                <w:color w:val="000000"/>
                <w:spacing w:val="0"/>
                <w:sz w:val="21"/>
                <w:highlight w:val="none"/>
              </w:rPr>
              <w:t>评标价低的投标人优先；</w:t>
            </w:r>
          </w:p>
          <w:p w14:paraId="41B64EC2">
            <w:pPr>
              <w:pStyle w:val="13"/>
              <w:keepNext w:val="0"/>
              <w:keepLines w:val="0"/>
              <w:pageBreakBefore w:val="0"/>
              <w:numPr>
                <w:ilvl w:val="0"/>
                <w:numId w:val="1"/>
              </w:numPr>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both"/>
              <w:textAlignment w:val="auto"/>
              <w:rPr>
                <w:rFonts w:hint="eastAsia" w:ascii="宋体" w:hAnsi="宋体"/>
                <w:color w:val="000000"/>
                <w:spacing w:val="0"/>
                <w:sz w:val="21"/>
                <w:highlight w:val="none"/>
              </w:rPr>
            </w:pPr>
            <w:r>
              <w:rPr>
                <w:rFonts w:hint="eastAsia" w:ascii="宋体" w:hAnsi="宋体"/>
                <w:color w:val="000000"/>
                <w:spacing w:val="0"/>
                <w:sz w:val="21"/>
                <w:highlight w:val="none"/>
              </w:rPr>
              <w:t>交通运输部公路水运试验检测管理系统最新年度信用评价等级高者优先；</w:t>
            </w:r>
          </w:p>
          <w:p w14:paraId="0B87B4AE">
            <w:pPr>
              <w:pStyle w:val="13"/>
              <w:keepNext w:val="0"/>
              <w:keepLines w:val="0"/>
              <w:pageBreakBefore w:val="0"/>
              <w:numPr>
                <w:ilvl w:val="0"/>
                <w:numId w:val="1"/>
              </w:numPr>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both"/>
              <w:textAlignment w:val="auto"/>
              <w:rPr>
                <w:rFonts w:hint="eastAsia" w:ascii="宋体" w:hAnsi="宋体" w:eastAsia="宋体" w:cs="宋体"/>
                <w:color w:val="auto"/>
                <w:sz w:val="21"/>
                <w:highlight w:val="none"/>
                <w:lang w:val="en-US" w:eastAsia="zh-CN"/>
              </w:rPr>
            </w:pPr>
            <w:r>
              <w:rPr>
                <w:rFonts w:hint="eastAsia" w:ascii="宋体" w:hAnsi="宋体"/>
                <w:color w:val="000000"/>
                <w:spacing w:val="0"/>
                <w:sz w:val="21"/>
                <w:highlight w:val="none"/>
              </w:rPr>
              <w:t>商务及技术文件得分高的优先。</w:t>
            </w:r>
          </w:p>
        </w:tc>
      </w:tr>
      <w:tr w14:paraId="72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blHeader/>
        </w:trPr>
        <w:tc>
          <w:tcPr>
            <w:tcW w:w="1786" w:type="dxa"/>
            <w:gridSpan w:val="3"/>
            <w:noWrap w:val="0"/>
            <w:vAlign w:val="center"/>
          </w:tcPr>
          <w:p w14:paraId="3C516D51">
            <w:pPr>
              <w:spacing w:line="240" w:lineRule="auto"/>
              <w:ind w:firstLine="0" w:firstLineChars="0"/>
              <w:jc w:val="center"/>
              <w:rPr>
                <w:b/>
                <w:bCs/>
                <w:color w:val="auto"/>
                <w:sz w:val="21"/>
                <w:highlight w:val="none"/>
              </w:rPr>
            </w:pPr>
            <w:r>
              <w:rPr>
                <w:b/>
                <w:bCs/>
                <w:color w:val="auto"/>
                <w:sz w:val="21"/>
                <w:highlight w:val="none"/>
              </w:rPr>
              <w:t>条款号</w:t>
            </w:r>
          </w:p>
        </w:tc>
        <w:tc>
          <w:tcPr>
            <w:tcW w:w="2045" w:type="dxa"/>
            <w:noWrap w:val="0"/>
            <w:vAlign w:val="center"/>
          </w:tcPr>
          <w:p w14:paraId="577417C0">
            <w:pPr>
              <w:spacing w:line="240" w:lineRule="auto"/>
              <w:ind w:firstLine="0" w:firstLineChars="0"/>
              <w:jc w:val="center"/>
              <w:rPr>
                <w:b/>
                <w:bCs/>
                <w:color w:val="auto"/>
                <w:sz w:val="21"/>
                <w:highlight w:val="none"/>
              </w:rPr>
            </w:pPr>
            <w:r>
              <w:rPr>
                <w:b/>
                <w:bCs/>
                <w:color w:val="auto"/>
                <w:sz w:val="21"/>
                <w:highlight w:val="none"/>
              </w:rPr>
              <w:t>评审因素</w:t>
            </w:r>
          </w:p>
        </w:tc>
        <w:tc>
          <w:tcPr>
            <w:tcW w:w="4691" w:type="dxa"/>
            <w:noWrap w:val="0"/>
            <w:vAlign w:val="center"/>
          </w:tcPr>
          <w:p w14:paraId="20C00DE3">
            <w:pPr>
              <w:spacing w:line="240" w:lineRule="auto"/>
              <w:ind w:firstLine="0" w:firstLineChars="0"/>
              <w:jc w:val="center"/>
              <w:rPr>
                <w:b/>
                <w:bCs/>
                <w:color w:val="auto"/>
                <w:sz w:val="21"/>
                <w:highlight w:val="none"/>
              </w:rPr>
            </w:pPr>
            <w:r>
              <w:rPr>
                <w:b/>
                <w:bCs/>
                <w:color w:val="auto"/>
                <w:sz w:val="21"/>
                <w:highlight w:val="none"/>
              </w:rPr>
              <w:t>评审标准</w:t>
            </w:r>
          </w:p>
        </w:tc>
      </w:tr>
      <w:tr w14:paraId="4661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886" w:type="dxa"/>
            <w:vMerge w:val="restart"/>
            <w:noWrap w:val="0"/>
            <w:vAlign w:val="center"/>
          </w:tcPr>
          <w:p w14:paraId="09181413">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14:paraId="2823ED4E">
            <w:pPr>
              <w:spacing w:line="240" w:lineRule="auto"/>
              <w:ind w:firstLine="0" w:firstLineChars="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2.1.3</w:t>
            </w:r>
          </w:p>
        </w:tc>
        <w:tc>
          <w:tcPr>
            <w:tcW w:w="518" w:type="dxa"/>
            <w:vMerge w:val="restart"/>
            <w:noWrap w:val="0"/>
            <w:vAlign w:val="center"/>
          </w:tcPr>
          <w:p w14:paraId="0370A1DE">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p>
          <w:p w14:paraId="0D939178">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p w14:paraId="36B3A306">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p w14:paraId="0A7BBB43">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w:t>
            </w:r>
          </w:p>
          <w:p w14:paraId="48D21017">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w:t>
            </w:r>
          </w:p>
          <w:p w14:paraId="2746E25A">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DC01B54">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w:t>
            </w:r>
          </w:p>
          <w:p w14:paraId="622E662C">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w:t>
            </w:r>
          </w:p>
          <w:p w14:paraId="76F180C0">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w:t>
            </w:r>
          </w:p>
          <w:p w14:paraId="4194FA8E">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w:t>
            </w:r>
          </w:p>
          <w:p w14:paraId="3F0A2742">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w:t>
            </w:r>
          </w:p>
          <w:p w14:paraId="2E9CB46C">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w:t>
            </w:r>
          </w:p>
          <w:p w14:paraId="6A22D51D">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p w14:paraId="00E5A112">
            <w:pPr>
              <w:spacing w:line="240" w:lineRule="auto"/>
              <w:ind w:firstLine="0" w:firstLineChars="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w:t>
            </w:r>
          </w:p>
        </w:tc>
        <w:tc>
          <w:tcPr>
            <w:tcW w:w="382" w:type="dxa"/>
            <w:vMerge w:val="restart"/>
            <w:noWrap w:val="0"/>
            <w:textDirection w:val="tbRlV"/>
            <w:vAlign w:val="center"/>
          </w:tcPr>
          <w:p w14:paraId="41B56541">
            <w:pPr>
              <w:spacing w:line="240" w:lineRule="auto"/>
              <w:ind w:left="420" w:leftChars="0" w:firstLine="0" w:firstLineChars="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形式评审与响应性评审标准</w:t>
            </w:r>
          </w:p>
        </w:tc>
        <w:tc>
          <w:tcPr>
            <w:tcW w:w="2045" w:type="dxa"/>
            <w:noWrap w:val="0"/>
            <w:vAlign w:val="center"/>
          </w:tcPr>
          <w:p w14:paraId="12350FEE">
            <w:pPr>
              <w:spacing w:line="240" w:lineRule="auto"/>
              <w:ind w:firstLine="0" w:firstLineChars="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投标函填写</w:t>
            </w:r>
          </w:p>
        </w:tc>
        <w:tc>
          <w:tcPr>
            <w:tcW w:w="4691" w:type="dxa"/>
            <w:noWrap w:val="0"/>
            <w:vAlign w:val="center"/>
          </w:tcPr>
          <w:p w14:paraId="36E842B4">
            <w:pPr>
              <w:spacing w:line="240" w:lineRule="auto"/>
              <w:ind w:firstLine="0" w:firstLineChars="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按招标文件规定填报了正确的项目名称、标段号、补遗书编号（如有）、服务期限、工程质量要求及安全目标</w:t>
            </w:r>
          </w:p>
        </w:tc>
      </w:tr>
      <w:tr w14:paraId="4833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2144FBF1">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40301C7E">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6FCCA979">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365F8FF7">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文件填写及组成</w:t>
            </w:r>
          </w:p>
        </w:tc>
        <w:tc>
          <w:tcPr>
            <w:tcW w:w="4691" w:type="dxa"/>
            <w:noWrap w:val="0"/>
            <w:vAlign w:val="center"/>
          </w:tcPr>
          <w:p w14:paraId="4D9C401C">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组成齐全，没有缺项或缺页，内容均按招标文件规定填写</w:t>
            </w:r>
          </w:p>
        </w:tc>
      </w:tr>
      <w:tr w14:paraId="3297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6520BEC1">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7F407137">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2793C575">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18203BE1">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文件签字盖章</w:t>
            </w:r>
          </w:p>
        </w:tc>
        <w:tc>
          <w:tcPr>
            <w:tcW w:w="4691" w:type="dxa"/>
            <w:noWrap w:val="0"/>
            <w:vAlign w:val="center"/>
          </w:tcPr>
          <w:p w14:paraId="74E04E53">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符合第二章“投标人须知”第3.7.3项规定</w:t>
            </w:r>
          </w:p>
        </w:tc>
      </w:tr>
      <w:tr w14:paraId="4870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4F4F739A">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00A162E8">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7E8B2DFD">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4E000391">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4691" w:type="dxa"/>
            <w:noWrap w:val="0"/>
            <w:vAlign w:val="center"/>
          </w:tcPr>
          <w:p w14:paraId="104B7915">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符合第二章“投标人须知”第3.4.1项规定</w:t>
            </w:r>
          </w:p>
        </w:tc>
      </w:tr>
      <w:tr w14:paraId="6AD1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65E06AAC">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6205971F">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2652CB92">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014ACFB7">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投标标段数</w:t>
            </w:r>
          </w:p>
        </w:tc>
        <w:tc>
          <w:tcPr>
            <w:tcW w:w="4691" w:type="dxa"/>
            <w:noWrap w:val="0"/>
            <w:vAlign w:val="center"/>
          </w:tcPr>
          <w:p w14:paraId="103B0952">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符合第一章“招标公告”第3.3项规定</w:t>
            </w:r>
          </w:p>
        </w:tc>
      </w:tr>
      <w:tr w14:paraId="4F68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3915BC9F">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0B9ACFBD">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54494617">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77CA9066">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优先选择次序</w:t>
            </w:r>
          </w:p>
        </w:tc>
        <w:tc>
          <w:tcPr>
            <w:tcW w:w="4691" w:type="dxa"/>
            <w:noWrap w:val="0"/>
            <w:vAlign w:val="center"/>
          </w:tcPr>
          <w:p w14:paraId="520E3ECE">
            <w:pPr>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投多个</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sz w:val="21"/>
                <w:szCs w:val="21"/>
                <w:highlight w:val="none"/>
              </w:rPr>
              <w:t>的投标人各</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sz w:val="21"/>
                <w:szCs w:val="21"/>
                <w:highlight w:val="none"/>
              </w:rPr>
              <w:t>投标文件填写的优先选择次序内容一致，标段名称符合招标文件规定</w:t>
            </w:r>
          </w:p>
        </w:tc>
      </w:tr>
      <w:tr w14:paraId="7E89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886" w:type="dxa"/>
            <w:vMerge w:val="continue"/>
            <w:noWrap w:val="0"/>
            <w:vAlign w:val="center"/>
          </w:tcPr>
          <w:p w14:paraId="750F9DA5">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177A9E02">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0084C536">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46CF7EB1">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w:t>
            </w:r>
          </w:p>
        </w:tc>
        <w:tc>
          <w:tcPr>
            <w:tcW w:w="4691" w:type="dxa"/>
            <w:noWrap w:val="0"/>
            <w:vAlign w:val="center"/>
          </w:tcPr>
          <w:p w14:paraId="2BFF8B95">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由法定代表人电子签名并加盖单位电子公章</w:t>
            </w:r>
          </w:p>
        </w:tc>
      </w:tr>
      <w:tr w14:paraId="7369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3E651B5D">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59612423">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070BC4BE">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5E437FF2">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投标文件备选方案</w:t>
            </w:r>
          </w:p>
        </w:tc>
        <w:tc>
          <w:tcPr>
            <w:tcW w:w="4691" w:type="dxa"/>
            <w:noWrap w:val="0"/>
            <w:vAlign w:val="center"/>
          </w:tcPr>
          <w:p w14:paraId="531B15FE">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同一投标人同一标段未提交两个以上不同的投标文件</w:t>
            </w:r>
          </w:p>
        </w:tc>
      </w:tr>
      <w:tr w14:paraId="620E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886" w:type="dxa"/>
            <w:vMerge w:val="continue"/>
            <w:noWrap w:val="0"/>
            <w:vAlign w:val="center"/>
          </w:tcPr>
          <w:p w14:paraId="5E2E3DAA">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7A782138">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794B4456">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72FF13E4">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4691" w:type="dxa"/>
            <w:noWrap w:val="0"/>
            <w:vAlign w:val="center"/>
          </w:tcPr>
          <w:p w14:paraId="1C7F4534">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未出现有关投标报价的内容</w:t>
            </w:r>
          </w:p>
        </w:tc>
      </w:tr>
      <w:tr w14:paraId="0199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886" w:type="dxa"/>
            <w:vMerge w:val="continue"/>
            <w:noWrap w:val="0"/>
            <w:vAlign w:val="center"/>
          </w:tcPr>
          <w:p w14:paraId="72E63EF4">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0D06C881">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1B563DA6">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450F7B5C">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4691" w:type="dxa"/>
            <w:noWrap w:val="0"/>
            <w:vAlign w:val="center"/>
          </w:tcPr>
          <w:p w14:paraId="384F4A1B">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1.3.2 项规定</w:t>
            </w:r>
          </w:p>
        </w:tc>
      </w:tr>
      <w:tr w14:paraId="385C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86" w:type="dxa"/>
            <w:vMerge w:val="continue"/>
            <w:noWrap w:val="0"/>
            <w:vAlign w:val="center"/>
          </w:tcPr>
          <w:p w14:paraId="09006568">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125AC491">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6E266A45">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6FCAA6EF">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质量目标</w:t>
            </w:r>
          </w:p>
        </w:tc>
        <w:tc>
          <w:tcPr>
            <w:tcW w:w="4691" w:type="dxa"/>
            <w:noWrap w:val="0"/>
            <w:vAlign w:val="center"/>
          </w:tcPr>
          <w:p w14:paraId="4DE8CB7F">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1.3.3 项规定</w:t>
            </w:r>
          </w:p>
        </w:tc>
      </w:tr>
      <w:tr w14:paraId="1BE4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886" w:type="dxa"/>
            <w:vMerge w:val="continue"/>
            <w:noWrap w:val="0"/>
            <w:vAlign w:val="center"/>
          </w:tcPr>
          <w:p w14:paraId="53430854">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5DE94C7C">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1371507C">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3D7CBDAB">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安全目标</w:t>
            </w:r>
          </w:p>
        </w:tc>
        <w:tc>
          <w:tcPr>
            <w:tcW w:w="4691" w:type="dxa"/>
            <w:noWrap w:val="0"/>
            <w:vAlign w:val="center"/>
          </w:tcPr>
          <w:p w14:paraId="786DE9BA">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1.3.4 项规定</w:t>
            </w:r>
          </w:p>
        </w:tc>
      </w:tr>
      <w:tr w14:paraId="7CA1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886" w:type="dxa"/>
            <w:vMerge w:val="continue"/>
            <w:noWrap w:val="0"/>
            <w:vAlign w:val="center"/>
          </w:tcPr>
          <w:p w14:paraId="49B01CDE">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026350D1">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597E81E4">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6F02E808">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实质性响应</w:t>
            </w:r>
          </w:p>
        </w:tc>
        <w:tc>
          <w:tcPr>
            <w:tcW w:w="4691" w:type="dxa"/>
            <w:noWrap w:val="0"/>
            <w:vAlign w:val="center"/>
          </w:tcPr>
          <w:p w14:paraId="2B47782F">
            <w:pPr>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对招标文件的实质性要求和条件作出响应</w:t>
            </w:r>
          </w:p>
        </w:tc>
      </w:tr>
      <w:tr w14:paraId="7A4A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886" w:type="dxa"/>
            <w:vMerge w:val="continue"/>
            <w:noWrap w:val="0"/>
            <w:vAlign w:val="center"/>
          </w:tcPr>
          <w:p w14:paraId="03042D74">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7D03967F">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64777180">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46C6E438">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权利义务符合招标文件规定</w:t>
            </w:r>
          </w:p>
        </w:tc>
        <w:tc>
          <w:tcPr>
            <w:tcW w:w="4691" w:type="dxa"/>
            <w:noWrap w:val="0"/>
            <w:vAlign w:val="center"/>
          </w:tcPr>
          <w:p w14:paraId="2A3A3811">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14:paraId="6838CA76">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w:t>
            </w:r>
            <w:r>
              <w:rPr>
                <w:rFonts w:hint="eastAsia" w:ascii="宋体" w:hAnsi="宋体" w:eastAsia="宋体" w:cs="宋体"/>
                <w:color w:val="auto"/>
                <w:sz w:val="21"/>
                <w:szCs w:val="21"/>
                <w:highlight w:val="none"/>
                <w:lang w:val="en-US" w:eastAsia="zh-CN"/>
              </w:rPr>
              <w:t>委托</w:t>
            </w:r>
            <w:r>
              <w:rPr>
                <w:rFonts w:hint="eastAsia" w:ascii="宋体" w:hAnsi="宋体" w:eastAsia="宋体" w:cs="宋体"/>
                <w:color w:val="auto"/>
                <w:sz w:val="21"/>
                <w:szCs w:val="21"/>
                <w:highlight w:val="none"/>
              </w:rPr>
              <w:t>人的责任范围，或减少投标人义务；</w:t>
            </w:r>
          </w:p>
          <w:p w14:paraId="0EC1D649">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14:paraId="7BEC8CFB">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14:paraId="41CBD985">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14:paraId="61CE7B9D">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tc>
      </w:tr>
      <w:tr w14:paraId="4262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86" w:type="dxa"/>
            <w:vMerge w:val="continue"/>
            <w:noWrap w:val="0"/>
            <w:vAlign w:val="center"/>
          </w:tcPr>
          <w:p w14:paraId="199ABE21">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3F5AF0D3">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4C570618">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6635682E">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投标人不得存在的情形</w:t>
            </w:r>
          </w:p>
        </w:tc>
        <w:tc>
          <w:tcPr>
            <w:tcW w:w="4691" w:type="dxa"/>
            <w:noWrap w:val="0"/>
            <w:vAlign w:val="center"/>
          </w:tcPr>
          <w:p w14:paraId="3FBB516F">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投标人不得存在第二章“投标人须知”第1.4.3项或第1.4.4项规定的任何一种情形</w:t>
            </w:r>
          </w:p>
        </w:tc>
      </w:tr>
      <w:tr w14:paraId="49DB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38D54229">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35A5114C">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textDirection w:val="tbRlV"/>
            <w:vAlign w:val="center"/>
          </w:tcPr>
          <w:p w14:paraId="1E29EFDF">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26501266">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4691" w:type="dxa"/>
            <w:noWrap w:val="0"/>
            <w:vAlign w:val="center"/>
          </w:tcPr>
          <w:p w14:paraId="7418267B">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投标文件未附有招标人不能接受的条件</w:t>
            </w:r>
          </w:p>
        </w:tc>
      </w:tr>
      <w:tr w14:paraId="7873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886" w:type="dxa"/>
            <w:vMerge w:val="restart"/>
            <w:noWrap w:val="0"/>
            <w:vAlign w:val="center"/>
          </w:tcPr>
          <w:p w14:paraId="457C3F0D">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14:paraId="71FC32C7">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518" w:type="dxa"/>
            <w:vMerge w:val="restart"/>
            <w:noWrap w:val="0"/>
            <w:vAlign w:val="center"/>
          </w:tcPr>
          <w:p w14:paraId="5854628F">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p>
          <w:p w14:paraId="5D631D9F">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p w14:paraId="02C43D34">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p w14:paraId="5B83DF50">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w:t>
            </w:r>
          </w:p>
          <w:p w14:paraId="689CB31F">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w:t>
            </w:r>
          </w:p>
          <w:p w14:paraId="3D4EC5C0">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CCADC7E">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w:t>
            </w:r>
          </w:p>
          <w:p w14:paraId="28AE930B">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w:t>
            </w:r>
          </w:p>
          <w:p w14:paraId="011007AC">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w:t>
            </w:r>
          </w:p>
          <w:p w14:paraId="2C590D84">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p w14:paraId="3708E0E2">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82" w:type="dxa"/>
            <w:vMerge w:val="restart"/>
            <w:noWrap w:val="0"/>
            <w:textDirection w:val="tbRlV"/>
            <w:vAlign w:val="center"/>
          </w:tcPr>
          <w:p w14:paraId="70A19C1F">
            <w:pPr>
              <w:spacing w:line="240" w:lineRule="auto"/>
              <w:ind w:left="42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2045" w:type="dxa"/>
            <w:noWrap w:val="0"/>
            <w:vAlign w:val="center"/>
          </w:tcPr>
          <w:p w14:paraId="4516635D">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投标函填写</w:t>
            </w:r>
          </w:p>
        </w:tc>
        <w:tc>
          <w:tcPr>
            <w:tcW w:w="4691" w:type="dxa"/>
            <w:noWrap w:val="0"/>
            <w:vAlign w:val="center"/>
          </w:tcPr>
          <w:p w14:paraId="637BBA23">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按招标文件规定填报了项目名称、标段号、补遗书编号（如有）、投标报价</w:t>
            </w:r>
          </w:p>
        </w:tc>
      </w:tr>
      <w:tr w14:paraId="60F2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86" w:type="dxa"/>
            <w:vMerge w:val="continue"/>
            <w:noWrap w:val="0"/>
            <w:vAlign w:val="center"/>
          </w:tcPr>
          <w:p w14:paraId="31B1A62F">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7776C767">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textDirection w:val="tbRlV"/>
            <w:vAlign w:val="center"/>
          </w:tcPr>
          <w:p w14:paraId="5F413A69">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7B454FB4">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已标价报价清单文字说明</w:t>
            </w:r>
          </w:p>
        </w:tc>
        <w:tc>
          <w:tcPr>
            <w:tcW w:w="4691" w:type="dxa"/>
            <w:noWrap w:val="0"/>
            <w:vAlign w:val="center"/>
          </w:tcPr>
          <w:p w14:paraId="61E09775">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已标价报价清单文字说明与招标文件规定一致，未进行修改或删除</w:t>
            </w:r>
          </w:p>
        </w:tc>
      </w:tr>
      <w:tr w14:paraId="05D3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3BF03113">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1E31EA56">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684B9F18">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70C91622">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文件填写及组成</w:t>
            </w:r>
          </w:p>
        </w:tc>
        <w:tc>
          <w:tcPr>
            <w:tcW w:w="4691" w:type="dxa"/>
            <w:noWrap w:val="0"/>
            <w:vAlign w:val="center"/>
          </w:tcPr>
          <w:p w14:paraId="081554AF">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组成齐全，没有缺项或缺页，内容均按招标文件规定填写</w:t>
            </w:r>
          </w:p>
        </w:tc>
      </w:tr>
      <w:tr w14:paraId="3D83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345F63A3">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11593BFE">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03E26583">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7D6A0076">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文件签字盖章</w:t>
            </w:r>
          </w:p>
        </w:tc>
        <w:tc>
          <w:tcPr>
            <w:tcW w:w="4691" w:type="dxa"/>
            <w:noWrap w:val="0"/>
            <w:vAlign w:val="center"/>
          </w:tcPr>
          <w:p w14:paraId="018198BE">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符合第二章“投标人须知”第3.7.3项规定</w:t>
            </w:r>
          </w:p>
        </w:tc>
      </w:tr>
      <w:tr w14:paraId="2DC0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886" w:type="dxa"/>
            <w:vMerge w:val="continue"/>
            <w:noWrap w:val="0"/>
            <w:vAlign w:val="center"/>
          </w:tcPr>
          <w:p w14:paraId="35E94258">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660B2256">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2537E15D">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421FC61D">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4691" w:type="dxa"/>
            <w:noWrap w:val="0"/>
            <w:vAlign w:val="center"/>
          </w:tcPr>
          <w:p w14:paraId="3698C8F6">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未超过招标人公布的最高投标限价，大写金额能够确定具体数值</w:t>
            </w:r>
          </w:p>
        </w:tc>
      </w:tr>
      <w:tr w14:paraId="6734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3FF51B0A">
            <w:pPr>
              <w:spacing w:line="240" w:lineRule="auto"/>
              <w:ind w:left="420"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03CD0BE6">
            <w:pPr>
              <w:spacing w:line="240" w:lineRule="auto"/>
              <w:ind w:left="420" w:firstLine="0" w:firstLineChars="0"/>
              <w:rPr>
                <w:rFonts w:hint="eastAsia" w:ascii="宋体" w:hAnsi="宋体" w:eastAsia="宋体" w:cs="宋体"/>
                <w:color w:val="auto"/>
                <w:sz w:val="21"/>
                <w:szCs w:val="21"/>
                <w:highlight w:val="none"/>
              </w:rPr>
            </w:pPr>
          </w:p>
        </w:tc>
        <w:tc>
          <w:tcPr>
            <w:tcW w:w="382" w:type="dxa"/>
            <w:vMerge w:val="continue"/>
            <w:noWrap w:val="0"/>
            <w:vAlign w:val="center"/>
          </w:tcPr>
          <w:p w14:paraId="28062996">
            <w:pPr>
              <w:spacing w:line="240" w:lineRule="auto"/>
              <w:ind w:left="420" w:firstLine="0" w:firstLineChars="0"/>
              <w:rPr>
                <w:rFonts w:hint="eastAsia" w:ascii="宋体" w:hAnsi="宋体" w:eastAsia="宋体" w:cs="宋体"/>
                <w:color w:val="auto"/>
                <w:sz w:val="21"/>
                <w:szCs w:val="21"/>
                <w:highlight w:val="none"/>
              </w:rPr>
            </w:pPr>
          </w:p>
        </w:tc>
        <w:tc>
          <w:tcPr>
            <w:tcW w:w="2045" w:type="dxa"/>
            <w:noWrap w:val="0"/>
            <w:vAlign w:val="center"/>
          </w:tcPr>
          <w:p w14:paraId="4FF7F0C9">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投标报价唯一性</w:t>
            </w:r>
          </w:p>
        </w:tc>
        <w:tc>
          <w:tcPr>
            <w:tcW w:w="4691" w:type="dxa"/>
            <w:noWrap w:val="0"/>
            <w:vAlign w:val="center"/>
          </w:tcPr>
          <w:p w14:paraId="6A561D01">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同一投标人同一标段未提交两个以上不同的投标报价</w:t>
            </w:r>
          </w:p>
        </w:tc>
      </w:tr>
      <w:tr w14:paraId="4D1D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rPr>
        <w:tc>
          <w:tcPr>
            <w:tcW w:w="886" w:type="dxa"/>
            <w:vMerge w:val="restart"/>
            <w:noWrap w:val="0"/>
            <w:vAlign w:val="center"/>
          </w:tcPr>
          <w:p w14:paraId="10A9E5D3">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518" w:type="dxa"/>
            <w:vMerge w:val="restart"/>
            <w:noWrap w:val="0"/>
            <w:vAlign w:val="center"/>
          </w:tcPr>
          <w:p w14:paraId="6ACB934F">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p>
          <w:p w14:paraId="3455BF50">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p w14:paraId="11EF0287">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p w14:paraId="436CFD92">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w:t>
            </w:r>
          </w:p>
          <w:p w14:paraId="2D7271C6">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w:t>
            </w:r>
          </w:p>
          <w:p w14:paraId="7F2A92EC">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BF7F574">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w:t>
            </w:r>
          </w:p>
          <w:p w14:paraId="0864367C">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w:t>
            </w:r>
          </w:p>
          <w:p w14:paraId="5520AE90">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w:t>
            </w:r>
          </w:p>
          <w:p w14:paraId="754331E3">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w:t>
            </w:r>
          </w:p>
          <w:p w14:paraId="18DB6A07">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w:t>
            </w:r>
          </w:p>
          <w:p w14:paraId="06A8A35C">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w:t>
            </w:r>
          </w:p>
          <w:p w14:paraId="42DAF44C">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p w14:paraId="17D51B76">
            <w:pPr>
              <w:spacing w:line="240" w:lineRule="auto"/>
              <w:ind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82" w:type="dxa"/>
            <w:vMerge w:val="restart"/>
            <w:noWrap w:val="0"/>
            <w:vAlign w:val="center"/>
          </w:tcPr>
          <w:p w14:paraId="5E160873">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42B896C1">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164171E4">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074A57B4">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7F96B84A">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218536FB">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045" w:type="dxa"/>
            <w:noWrap w:val="0"/>
            <w:vAlign w:val="center"/>
          </w:tcPr>
          <w:p w14:paraId="47BF2DB4">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营业执照、资质证书和基本账户开户许可证</w:t>
            </w:r>
          </w:p>
        </w:tc>
        <w:tc>
          <w:tcPr>
            <w:tcW w:w="4691" w:type="dxa"/>
            <w:noWrap w:val="0"/>
            <w:vAlign w:val="center"/>
          </w:tcPr>
          <w:p w14:paraId="6B377E52">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事业单位法人证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、资质证书和基本账户开户许可证</w:t>
            </w:r>
          </w:p>
        </w:tc>
      </w:tr>
      <w:tr w14:paraId="0BA9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02D8114B">
            <w:pPr>
              <w:spacing w:line="240" w:lineRule="auto"/>
              <w:ind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44A34280">
            <w:pPr>
              <w:spacing w:line="240" w:lineRule="auto"/>
              <w:ind w:firstLine="0" w:firstLineChars="0"/>
              <w:jc w:val="center"/>
              <w:rPr>
                <w:rFonts w:hint="eastAsia" w:ascii="宋体" w:hAnsi="宋体" w:eastAsia="宋体" w:cs="宋体"/>
                <w:color w:val="auto"/>
                <w:sz w:val="21"/>
                <w:szCs w:val="21"/>
                <w:highlight w:val="none"/>
              </w:rPr>
            </w:pPr>
          </w:p>
        </w:tc>
        <w:tc>
          <w:tcPr>
            <w:tcW w:w="382" w:type="dxa"/>
            <w:vMerge w:val="continue"/>
            <w:noWrap w:val="0"/>
            <w:vAlign w:val="center"/>
          </w:tcPr>
          <w:p w14:paraId="29D5CD86">
            <w:pPr>
              <w:spacing w:line="240" w:lineRule="auto"/>
              <w:ind w:firstLine="0" w:firstLineChars="0"/>
              <w:jc w:val="center"/>
              <w:rPr>
                <w:rFonts w:hint="eastAsia" w:ascii="宋体" w:hAnsi="宋体" w:eastAsia="宋体" w:cs="宋体"/>
                <w:color w:val="auto"/>
                <w:sz w:val="21"/>
                <w:szCs w:val="21"/>
                <w:highlight w:val="none"/>
              </w:rPr>
            </w:pPr>
          </w:p>
        </w:tc>
        <w:tc>
          <w:tcPr>
            <w:tcW w:w="2045" w:type="dxa"/>
            <w:noWrap w:val="0"/>
            <w:vAlign w:val="center"/>
          </w:tcPr>
          <w:p w14:paraId="0C00AD86">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4691" w:type="dxa"/>
            <w:noWrap w:val="0"/>
            <w:vAlign w:val="center"/>
          </w:tcPr>
          <w:p w14:paraId="088F714B">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项“资质要求”的规定</w:t>
            </w:r>
          </w:p>
        </w:tc>
      </w:tr>
      <w:tr w14:paraId="0448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773B1CF9">
            <w:pPr>
              <w:spacing w:line="240" w:lineRule="auto"/>
              <w:ind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7DCC61F5">
            <w:pPr>
              <w:spacing w:line="240" w:lineRule="auto"/>
              <w:ind w:firstLine="0" w:firstLineChars="0"/>
              <w:jc w:val="center"/>
              <w:rPr>
                <w:rFonts w:hint="eastAsia" w:ascii="宋体" w:hAnsi="宋体" w:eastAsia="宋体" w:cs="宋体"/>
                <w:color w:val="auto"/>
                <w:sz w:val="21"/>
                <w:szCs w:val="21"/>
                <w:highlight w:val="none"/>
              </w:rPr>
            </w:pPr>
          </w:p>
        </w:tc>
        <w:tc>
          <w:tcPr>
            <w:tcW w:w="382" w:type="dxa"/>
            <w:vMerge w:val="continue"/>
            <w:noWrap w:val="0"/>
            <w:vAlign w:val="center"/>
          </w:tcPr>
          <w:p w14:paraId="7777107A">
            <w:pPr>
              <w:spacing w:line="240" w:lineRule="auto"/>
              <w:ind w:firstLine="0" w:firstLineChars="0"/>
              <w:jc w:val="center"/>
              <w:rPr>
                <w:rFonts w:hint="eastAsia" w:ascii="宋体" w:hAnsi="宋体" w:eastAsia="宋体" w:cs="宋体"/>
                <w:color w:val="auto"/>
                <w:sz w:val="21"/>
                <w:szCs w:val="21"/>
                <w:highlight w:val="none"/>
              </w:rPr>
            </w:pPr>
          </w:p>
        </w:tc>
        <w:tc>
          <w:tcPr>
            <w:tcW w:w="2045" w:type="dxa"/>
            <w:noWrap w:val="0"/>
            <w:vAlign w:val="center"/>
          </w:tcPr>
          <w:p w14:paraId="049EDEE7">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tc>
        <w:tc>
          <w:tcPr>
            <w:tcW w:w="4691" w:type="dxa"/>
            <w:noWrap w:val="0"/>
            <w:vAlign w:val="center"/>
          </w:tcPr>
          <w:p w14:paraId="6F5F351A">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项“业绩要求”的规定</w:t>
            </w:r>
          </w:p>
        </w:tc>
      </w:tr>
      <w:tr w14:paraId="22B8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86" w:type="dxa"/>
            <w:vMerge w:val="continue"/>
            <w:noWrap w:val="0"/>
            <w:vAlign w:val="center"/>
          </w:tcPr>
          <w:p w14:paraId="2DC0BE4C">
            <w:pPr>
              <w:spacing w:line="240" w:lineRule="auto"/>
              <w:ind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7512303A">
            <w:pPr>
              <w:spacing w:line="240" w:lineRule="auto"/>
              <w:ind w:firstLine="0" w:firstLineChars="0"/>
              <w:jc w:val="center"/>
              <w:rPr>
                <w:rFonts w:hint="eastAsia" w:ascii="宋体" w:hAnsi="宋体" w:eastAsia="宋体" w:cs="宋体"/>
                <w:color w:val="auto"/>
                <w:sz w:val="21"/>
                <w:szCs w:val="21"/>
                <w:highlight w:val="none"/>
              </w:rPr>
            </w:pPr>
          </w:p>
        </w:tc>
        <w:tc>
          <w:tcPr>
            <w:tcW w:w="382" w:type="dxa"/>
            <w:vMerge w:val="continue"/>
            <w:noWrap w:val="0"/>
            <w:vAlign w:val="center"/>
          </w:tcPr>
          <w:p w14:paraId="6A393B07">
            <w:pPr>
              <w:spacing w:line="240" w:lineRule="auto"/>
              <w:ind w:firstLine="0" w:firstLineChars="0"/>
              <w:jc w:val="center"/>
              <w:rPr>
                <w:rFonts w:hint="eastAsia" w:ascii="宋体" w:hAnsi="宋体" w:eastAsia="宋体" w:cs="宋体"/>
                <w:color w:val="auto"/>
                <w:sz w:val="21"/>
                <w:szCs w:val="21"/>
                <w:highlight w:val="none"/>
              </w:rPr>
            </w:pPr>
          </w:p>
        </w:tc>
        <w:tc>
          <w:tcPr>
            <w:tcW w:w="2045" w:type="dxa"/>
            <w:noWrap w:val="0"/>
            <w:vAlign w:val="center"/>
          </w:tcPr>
          <w:p w14:paraId="403886F6">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4691" w:type="dxa"/>
            <w:noWrap w:val="0"/>
            <w:vAlign w:val="center"/>
          </w:tcPr>
          <w:p w14:paraId="34FFD1B6">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项“信誉要求”的规定</w:t>
            </w:r>
          </w:p>
        </w:tc>
      </w:tr>
      <w:tr w14:paraId="1B39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886" w:type="dxa"/>
            <w:vMerge w:val="continue"/>
            <w:noWrap w:val="0"/>
            <w:vAlign w:val="center"/>
          </w:tcPr>
          <w:p w14:paraId="2123EDA0">
            <w:pPr>
              <w:spacing w:line="240" w:lineRule="auto"/>
              <w:ind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1139C4B4">
            <w:pPr>
              <w:spacing w:line="240" w:lineRule="auto"/>
              <w:ind w:firstLine="0" w:firstLineChars="0"/>
              <w:jc w:val="center"/>
              <w:rPr>
                <w:rFonts w:hint="eastAsia" w:ascii="宋体" w:hAnsi="宋体" w:eastAsia="宋体" w:cs="宋体"/>
                <w:color w:val="auto"/>
                <w:sz w:val="21"/>
                <w:szCs w:val="21"/>
                <w:highlight w:val="none"/>
              </w:rPr>
            </w:pPr>
          </w:p>
        </w:tc>
        <w:tc>
          <w:tcPr>
            <w:tcW w:w="382" w:type="dxa"/>
            <w:vMerge w:val="continue"/>
            <w:noWrap w:val="0"/>
            <w:vAlign w:val="center"/>
          </w:tcPr>
          <w:p w14:paraId="33BB0A62">
            <w:pPr>
              <w:spacing w:line="240" w:lineRule="auto"/>
              <w:ind w:firstLine="0" w:firstLineChars="0"/>
              <w:jc w:val="center"/>
              <w:rPr>
                <w:rFonts w:hint="eastAsia" w:ascii="宋体" w:hAnsi="宋体" w:eastAsia="宋体" w:cs="宋体"/>
                <w:color w:val="auto"/>
                <w:sz w:val="21"/>
                <w:szCs w:val="21"/>
                <w:highlight w:val="none"/>
              </w:rPr>
            </w:pPr>
          </w:p>
        </w:tc>
        <w:tc>
          <w:tcPr>
            <w:tcW w:w="2045" w:type="dxa"/>
            <w:noWrap w:val="0"/>
            <w:vAlign w:val="center"/>
          </w:tcPr>
          <w:p w14:paraId="21A96314">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项目负责人资格</w:t>
            </w:r>
          </w:p>
        </w:tc>
        <w:tc>
          <w:tcPr>
            <w:tcW w:w="4691" w:type="dxa"/>
            <w:noWrap w:val="0"/>
            <w:vAlign w:val="center"/>
          </w:tcPr>
          <w:p w14:paraId="6C47E5FC">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w:t>
            </w:r>
            <w:r>
              <w:rPr>
                <w:rFonts w:hint="eastAsia" w:ascii="宋体" w:hAnsi="宋体" w:eastAsia="宋体" w:cs="宋体"/>
                <w:color w:val="auto"/>
                <w:sz w:val="21"/>
                <w:szCs w:val="21"/>
                <w:highlight w:val="none"/>
                <w:lang w:val="en-US" w:eastAsia="zh-CN"/>
              </w:rPr>
              <w:t>项目负责人资格</w:t>
            </w:r>
            <w:r>
              <w:rPr>
                <w:rFonts w:hint="eastAsia" w:ascii="宋体" w:hAnsi="宋体" w:eastAsia="宋体" w:cs="宋体"/>
                <w:color w:val="auto"/>
                <w:sz w:val="21"/>
                <w:szCs w:val="21"/>
                <w:highlight w:val="none"/>
              </w:rPr>
              <w:t>”的规定</w:t>
            </w:r>
          </w:p>
        </w:tc>
      </w:tr>
      <w:tr w14:paraId="18E5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886" w:type="dxa"/>
            <w:vMerge w:val="continue"/>
            <w:noWrap w:val="0"/>
            <w:vAlign w:val="center"/>
          </w:tcPr>
          <w:p w14:paraId="79496EA4">
            <w:pPr>
              <w:spacing w:line="240" w:lineRule="auto"/>
              <w:ind w:firstLine="0" w:firstLineChars="0"/>
              <w:rPr>
                <w:rFonts w:hint="eastAsia" w:ascii="宋体" w:hAnsi="宋体" w:eastAsia="宋体" w:cs="宋体"/>
                <w:color w:val="auto"/>
                <w:sz w:val="21"/>
                <w:szCs w:val="21"/>
                <w:highlight w:val="none"/>
              </w:rPr>
            </w:pPr>
          </w:p>
        </w:tc>
        <w:tc>
          <w:tcPr>
            <w:tcW w:w="518" w:type="dxa"/>
            <w:vMerge w:val="continue"/>
            <w:noWrap w:val="0"/>
            <w:vAlign w:val="center"/>
          </w:tcPr>
          <w:p w14:paraId="609B88DB">
            <w:pPr>
              <w:spacing w:line="240" w:lineRule="auto"/>
              <w:ind w:firstLine="0" w:firstLineChars="0"/>
              <w:jc w:val="center"/>
              <w:rPr>
                <w:rFonts w:hint="eastAsia" w:ascii="宋体" w:hAnsi="宋体" w:eastAsia="宋体" w:cs="宋体"/>
                <w:color w:val="auto"/>
                <w:sz w:val="21"/>
                <w:szCs w:val="21"/>
                <w:highlight w:val="none"/>
              </w:rPr>
            </w:pPr>
          </w:p>
        </w:tc>
        <w:tc>
          <w:tcPr>
            <w:tcW w:w="382" w:type="dxa"/>
            <w:vMerge w:val="continue"/>
            <w:noWrap w:val="0"/>
            <w:vAlign w:val="center"/>
          </w:tcPr>
          <w:p w14:paraId="5C935752">
            <w:pPr>
              <w:spacing w:line="240" w:lineRule="auto"/>
              <w:ind w:firstLine="0" w:firstLineChars="0"/>
              <w:jc w:val="center"/>
              <w:rPr>
                <w:rFonts w:hint="eastAsia" w:ascii="宋体" w:hAnsi="宋体" w:eastAsia="宋体" w:cs="宋体"/>
                <w:color w:val="auto"/>
                <w:sz w:val="21"/>
                <w:szCs w:val="21"/>
                <w:highlight w:val="none"/>
              </w:rPr>
            </w:pPr>
          </w:p>
        </w:tc>
        <w:tc>
          <w:tcPr>
            <w:tcW w:w="2045" w:type="dxa"/>
            <w:noWrap w:val="0"/>
            <w:vAlign w:val="center"/>
          </w:tcPr>
          <w:p w14:paraId="282CB458">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4691" w:type="dxa"/>
            <w:noWrap w:val="0"/>
            <w:vAlign w:val="center"/>
          </w:tcPr>
          <w:p w14:paraId="301CEC07">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项“其他要求”的规定</w:t>
            </w:r>
          </w:p>
        </w:tc>
      </w:tr>
    </w:tbl>
    <w:tbl>
      <w:tblPr>
        <w:tblStyle w:val="10"/>
        <w:tblpPr w:leftFromText="180" w:rightFromText="180" w:vertAnchor="text" w:horzAnchor="page" w:tblpX="1573" w:tblpY="247"/>
        <w:tblOverlap w:val="never"/>
        <w:tblW w:w="874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213"/>
        <w:gridCol w:w="6425"/>
      </w:tblGrid>
      <w:tr w14:paraId="574EA0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6" w:hRule="exact"/>
        </w:trPr>
        <w:tc>
          <w:tcPr>
            <w:tcW w:w="1103" w:type="dxa"/>
            <w:tcBorders>
              <w:tl2br w:val="nil"/>
              <w:tr2bl w:val="nil"/>
            </w:tcBorders>
            <w:noWrap w:val="0"/>
            <w:vAlign w:val="center"/>
          </w:tcPr>
          <w:p w14:paraId="00425D02">
            <w:pPr>
              <w:pStyle w:val="13"/>
              <w:keepNext w:val="0"/>
              <w:keepLines w:val="0"/>
              <w:pageBreakBefore w:val="0"/>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center"/>
              <w:textAlignment w:val="auto"/>
              <w:rPr>
                <w:rFonts w:hint="default" w:eastAsia="Times New Roman"/>
                <w:b/>
                <w:color w:val="000000"/>
                <w:spacing w:val="0"/>
                <w:highlight w:val="none"/>
              </w:rPr>
            </w:pPr>
            <w:r>
              <w:rPr>
                <w:rFonts w:ascii="宋体"/>
                <w:b/>
                <w:color w:val="000000"/>
                <w:spacing w:val="0"/>
                <w:sz w:val="21"/>
                <w:highlight w:val="none"/>
              </w:rPr>
              <w:t>条款号</w:t>
            </w:r>
          </w:p>
        </w:tc>
        <w:tc>
          <w:tcPr>
            <w:tcW w:w="1213" w:type="dxa"/>
            <w:tcBorders>
              <w:tl2br w:val="nil"/>
              <w:tr2bl w:val="nil"/>
            </w:tcBorders>
            <w:noWrap w:val="0"/>
            <w:vAlign w:val="center"/>
          </w:tcPr>
          <w:p w14:paraId="0CCBCFEA">
            <w:pPr>
              <w:pStyle w:val="13"/>
              <w:keepNext w:val="0"/>
              <w:keepLines w:val="0"/>
              <w:pageBreakBefore w:val="0"/>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center"/>
              <w:textAlignment w:val="auto"/>
              <w:rPr>
                <w:rFonts w:hint="default" w:eastAsia="Times New Roman"/>
                <w:b/>
                <w:color w:val="000000"/>
                <w:spacing w:val="0"/>
                <w:highlight w:val="none"/>
              </w:rPr>
            </w:pPr>
            <w:r>
              <w:rPr>
                <w:rFonts w:ascii="宋体"/>
                <w:b/>
                <w:color w:val="000000"/>
                <w:spacing w:val="0"/>
                <w:sz w:val="21"/>
                <w:highlight w:val="none"/>
              </w:rPr>
              <w:t>条款内容</w:t>
            </w:r>
          </w:p>
        </w:tc>
        <w:tc>
          <w:tcPr>
            <w:tcW w:w="6425" w:type="dxa"/>
            <w:tcBorders>
              <w:tl2br w:val="nil"/>
              <w:tr2bl w:val="nil"/>
            </w:tcBorders>
            <w:noWrap w:val="0"/>
            <w:vAlign w:val="center"/>
          </w:tcPr>
          <w:p w14:paraId="1FA77142">
            <w:pPr>
              <w:pStyle w:val="13"/>
              <w:keepNext w:val="0"/>
              <w:keepLines w:val="0"/>
              <w:pageBreakBefore w:val="0"/>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center"/>
              <w:textAlignment w:val="auto"/>
              <w:rPr>
                <w:rFonts w:hint="default" w:eastAsia="Times New Roman"/>
                <w:b/>
                <w:color w:val="000000"/>
                <w:spacing w:val="0"/>
                <w:highlight w:val="none"/>
              </w:rPr>
            </w:pPr>
            <w:r>
              <w:rPr>
                <w:rFonts w:ascii="宋体"/>
                <w:b/>
                <w:color w:val="000000"/>
                <w:spacing w:val="0"/>
                <w:sz w:val="21"/>
                <w:highlight w:val="none"/>
              </w:rPr>
              <w:t>编列内容</w:t>
            </w:r>
          </w:p>
        </w:tc>
      </w:tr>
      <w:tr w14:paraId="41E017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41" w:hRule="exact"/>
        </w:trPr>
        <w:tc>
          <w:tcPr>
            <w:tcW w:w="1103" w:type="dxa"/>
            <w:tcBorders>
              <w:tl2br w:val="nil"/>
              <w:tr2bl w:val="nil"/>
            </w:tcBorders>
            <w:noWrap w:val="0"/>
            <w:vAlign w:val="center"/>
          </w:tcPr>
          <w:p w14:paraId="0DA7C1DC">
            <w:pPr>
              <w:pStyle w:val="13"/>
              <w:keepNext w:val="0"/>
              <w:keepLines w:val="0"/>
              <w:pageBreakBefore w:val="0"/>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center"/>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2.2.1</w:t>
            </w:r>
          </w:p>
        </w:tc>
        <w:tc>
          <w:tcPr>
            <w:tcW w:w="1213" w:type="dxa"/>
            <w:tcBorders>
              <w:tl2br w:val="nil"/>
              <w:tr2bl w:val="nil"/>
            </w:tcBorders>
            <w:noWrap w:val="0"/>
            <w:vAlign w:val="center"/>
          </w:tcPr>
          <w:p w14:paraId="02B718F3">
            <w:pPr>
              <w:pStyle w:val="13"/>
              <w:keepNext w:val="0"/>
              <w:keepLines w:val="0"/>
              <w:pageBreakBefore w:val="0"/>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center"/>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分值构成</w:t>
            </w:r>
          </w:p>
          <w:p w14:paraId="1CC07690">
            <w:pPr>
              <w:pStyle w:val="13"/>
              <w:keepNext w:val="0"/>
              <w:keepLines w:val="0"/>
              <w:pageBreakBefore w:val="0"/>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center"/>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（总分 100 分</w:t>
            </w:r>
          </w:p>
        </w:tc>
        <w:tc>
          <w:tcPr>
            <w:tcW w:w="6425" w:type="dxa"/>
            <w:tcBorders>
              <w:tl2br w:val="nil"/>
              <w:tr2bl w:val="nil"/>
            </w:tcBorders>
            <w:noWrap w:val="0"/>
            <w:vAlign w:val="center"/>
          </w:tcPr>
          <w:p w14:paraId="6B8DDF26">
            <w:pPr>
              <w:pStyle w:val="13"/>
              <w:keepNext w:val="0"/>
              <w:keepLines w:val="0"/>
              <w:pageBreakBefore w:val="0"/>
              <w:tabs>
                <w:tab w:val="left" w:pos="2626"/>
              </w:tabs>
              <w:kinsoku/>
              <w:wordWrap/>
              <w:topLinePunct w:val="0"/>
              <w:autoSpaceDE w:val="0"/>
              <w:autoSpaceDN w:val="0"/>
              <w:bidi w:val="0"/>
              <w:adjustRightInd w:val="0"/>
              <w:snapToGrid/>
              <w:spacing w:beforeLines="0" w:afterLines="0" w:line="360" w:lineRule="auto"/>
              <w:ind w:left="120" w:leftChars="50" w:right="120" w:rightChars="50" w:firstLine="0" w:firstLineChars="0"/>
              <w:contextualSpacing/>
              <w:jc w:val="both"/>
              <w:textAlignment w:val="auto"/>
              <w:rPr>
                <w:rFonts w:hint="eastAsia" w:ascii="宋体" w:hAnsi="宋体" w:eastAsia="宋体" w:cs="宋体"/>
                <w:b/>
                <w:bCs/>
                <w:color w:val="000000"/>
                <w:spacing w:val="0"/>
                <w:sz w:val="21"/>
                <w:szCs w:val="21"/>
                <w:highlight w:val="none"/>
              </w:rPr>
            </w:pPr>
            <w:r>
              <w:rPr>
                <w:rFonts w:hint="eastAsia" w:ascii="宋体" w:hAnsi="宋体" w:eastAsia="宋体" w:cs="宋体"/>
                <w:b/>
                <w:bCs/>
                <w:color w:val="000000"/>
                <w:spacing w:val="0"/>
                <w:sz w:val="21"/>
                <w:szCs w:val="21"/>
                <w:highlight w:val="none"/>
              </w:rPr>
              <w:t xml:space="preserve">第一个信封（商务及技术文件）评分分值构成： </w:t>
            </w:r>
          </w:p>
          <w:p w14:paraId="1F76557F">
            <w:pPr>
              <w:pStyle w:val="13"/>
              <w:keepNext w:val="0"/>
              <w:keepLines w:val="0"/>
              <w:pageBreakBefore w:val="0"/>
              <w:tabs>
                <w:tab w:val="left" w:pos="2626"/>
              </w:tabs>
              <w:kinsoku/>
              <w:wordWrap/>
              <w:topLinePunct w:val="0"/>
              <w:autoSpaceDE w:val="0"/>
              <w:autoSpaceDN w:val="0"/>
              <w:bidi w:val="0"/>
              <w:adjustRightInd w:val="0"/>
              <w:snapToGrid/>
              <w:spacing w:beforeLines="0" w:afterLines="0" w:line="360" w:lineRule="auto"/>
              <w:ind w:left="120" w:leftChars="50" w:right="120" w:rightChars="50" w:firstLine="0" w:firstLineChars="0"/>
              <w:contextualSpacing/>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技术建议书：</w:t>
            </w:r>
            <w:r>
              <w:rPr>
                <w:rFonts w:hint="eastAsia" w:ascii="宋体" w:hAnsi="宋体" w:cs="宋体"/>
                <w:color w:val="000000"/>
                <w:spacing w:val="0"/>
                <w:sz w:val="21"/>
                <w:szCs w:val="21"/>
                <w:highlight w:val="none"/>
                <w:u w:val="single"/>
                <w:lang w:val="en-US" w:eastAsia="zh-CN"/>
              </w:rPr>
              <w:t>40</w:t>
            </w:r>
            <w:r>
              <w:rPr>
                <w:rFonts w:hint="eastAsia" w:ascii="宋体" w:hAnsi="宋体" w:eastAsia="宋体" w:cs="宋体"/>
                <w:color w:val="000000"/>
                <w:spacing w:val="0"/>
                <w:sz w:val="21"/>
                <w:szCs w:val="21"/>
                <w:highlight w:val="none"/>
              </w:rPr>
              <w:t>分</w:t>
            </w:r>
          </w:p>
          <w:p w14:paraId="61EE6268">
            <w:pPr>
              <w:pStyle w:val="13"/>
              <w:keepNext w:val="0"/>
              <w:keepLines w:val="0"/>
              <w:pageBreakBefore w:val="0"/>
              <w:tabs>
                <w:tab w:val="left" w:pos="2626"/>
              </w:tabs>
              <w:kinsoku/>
              <w:wordWrap/>
              <w:topLinePunct w:val="0"/>
              <w:autoSpaceDE w:val="0"/>
              <w:autoSpaceDN w:val="0"/>
              <w:bidi w:val="0"/>
              <w:adjustRightInd w:val="0"/>
              <w:snapToGrid/>
              <w:spacing w:beforeLines="0" w:afterLines="0" w:line="360" w:lineRule="auto"/>
              <w:ind w:left="120" w:leftChars="50" w:right="120" w:rightChars="50" w:firstLine="0" w:firstLineChars="0"/>
              <w:contextualSpacing/>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主要人员：</w:t>
            </w:r>
            <w:r>
              <w:rPr>
                <w:rFonts w:hint="eastAsia" w:ascii="宋体" w:hAnsi="宋体" w:cs="宋体"/>
                <w:color w:val="000000"/>
                <w:spacing w:val="0"/>
                <w:sz w:val="21"/>
                <w:szCs w:val="21"/>
                <w:highlight w:val="none"/>
                <w:u w:val="single"/>
                <w:lang w:val="en-US" w:eastAsia="zh-CN"/>
              </w:rPr>
              <w:t>20</w:t>
            </w:r>
            <w:r>
              <w:rPr>
                <w:rFonts w:hint="eastAsia" w:ascii="宋体" w:hAnsi="宋体" w:eastAsia="宋体" w:cs="宋体"/>
                <w:color w:val="000000"/>
                <w:spacing w:val="0"/>
                <w:sz w:val="21"/>
                <w:szCs w:val="21"/>
                <w:highlight w:val="none"/>
              </w:rPr>
              <w:t>分</w:t>
            </w:r>
          </w:p>
          <w:p w14:paraId="621EE972">
            <w:pPr>
              <w:pStyle w:val="13"/>
              <w:keepNext w:val="0"/>
              <w:keepLines w:val="0"/>
              <w:pageBreakBefore w:val="0"/>
              <w:tabs>
                <w:tab w:val="left" w:pos="2626"/>
              </w:tabs>
              <w:kinsoku/>
              <w:wordWrap/>
              <w:topLinePunct w:val="0"/>
              <w:autoSpaceDE w:val="0"/>
              <w:autoSpaceDN w:val="0"/>
              <w:bidi w:val="0"/>
              <w:adjustRightInd w:val="0"/>
              <w:snapToGrid/>
              <w:spacing w:beforeLines="0" w:afterLines="0" w:line="360" w:lineRule="auto"/>
              <w:ind w:left="120" w:leftChars="50" w:right="120" w:rightChars="50" w:firstLine="0" w:firstLineChars="0"/>
              <w:contextualSpacing/>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业绩：</w:t>
            </w:r>
            <w:r>
              <w:rPr>
                <w:rFonts w:hint="eastAsia" w:ascii="宋体" w:hAnsi="宋体" w:cs="宋体"/>
                <w:color w:val="000000"/>
                <w:spacing w:val="0"/>
                <w:sz w:val="21"/>
                <w:szCs w:val="21"/>
                <w:highlight w:val="none"/>
                <w:u w:val="single"/>
                <w:lang w:val="en-US" w:eastAsia="zh-CN"/>
              </w:rPr>
              <w:t>20</w:t>
            </w:r>
            <w:r>
              <w:rPr>
                <w:rFonts w:hint="eastAsia" w:ascii="宋体" w:hAnsi="宋体" w:eastAsia="宋体" w:cs="宋体"/>
                <w:color w:val="000000"/>
                <w:spacing w:val="0"/>
                <w:sz w:val="21"/>
                <w:szCs w:val="21"/>
                <w:highlight w:val="none"/>
              </w:rPr>
              <w:t xml:space="preserve">分                  </w:t>
            </w:r>
          </w:p>
          <w:p w14:paraId="272AF5CC">
            <w:pPr>
              <w:pStyle w:val="13"/>
              <w:keepNext w:val="0"/>
              <w:keepLines w:val="0"/>
              <w:pageBreakBefore w:val="0"/>
              <w:tabs>
                <w:tab w:val="left" w:pos="2626"/>
              </w:tabs>
              <w:kinsoku/>
              <w:wordWrap/>
              <w:topLinePunct w:val="0"/>
              <w:autoSpaceDE w:val="0"/>
              <w:autoSpaceDN w:val="0"/>
              <w:bidi w:val="0"/>
              <w:adjustRightInd w:val="0"/>
              <w:snapToGrid/>
              <w:spacing w:beforeLines="0" w:afterLines="0" w:line="360" w:lineRule="auto"/>
              <w:ind w:left="120" w:leftChars="50" w:right="120" w:rightChars="50" w:firstLine="0" w:firstLineChars="0"/>
              <w:contextualSpacing/>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履约信誉：</w:t>
            </w:r>
            <w:r>
              <w:rPr>
                <w:rFonts w:hint="eastAsia" w:ascii="宋体" w:hAnsi="宋体" w:cs="宋体"/>
                <w:color w:val="000000"/>
                <w:spacing w:val="0"/>
                <w:sz w:val="21"/>
                <w:szCs w:val="21"/>
                <w:highlight w:val="none"/>
                <w:u w:val="single"/>
                <w:lang w:val="en-US" w:eastAsia="zh-CN"/>
              </w:rPr>
              <w:t>10</w:t>
            </w:r>
            <w:r>
              <w:rPr>
                <w:rFonts w:hint="eastAsia" w:ascii="宋体" w:hAnsi="宋体" w:eastAsia="宋体" w:cs="宋体"/>
                <w:color w:val="000000"/>
                <w:spacing w:val="0"/>
                <w:sz w:val="21"/>
                <w:szCs w:val="21"/>
                <w:highlight w:val="none"/>
              </w:rPr>
              <w:t>分</w:t>
            </w:r>
          </w:p>
          <w:p w14:paraId="51A7AD0B">
            <w:pPr>
              <w:pStyle w:val="13"/>
              <w:keepNext w:val="0"/>
              <w:keepLines w:val="0"/>
              <w:pageBreakBefore w:val="0"/>
              <w:tabs>
                <w:tab w:val="left" w:pos="2626"/>
              </w:tabs>
              <w:kinsoku/>
              <w:wordWrap/>
              <w:topLinePunct w:val="0"/>
              <w:autoSpaceDE w:val="0"/>
              <w:autoSpaceDN w:val="0"/>
              <w:bidi w:val="0"/>
              <w:adjustRightInd w:val="0"/>
              <w:snapToGrid/>
              <w:spacing w:beforeLines="0" w:afterLines="0" w:line="360" w:lineRule="auto"/>
              <w:ind w:left="120" w:leftChars="50" w:right="120" w:rightChars="50" w:firstLine="0" w:firstLineChars="0"/>
              <w:contextualSpacing/>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b/>
                <w:bCs/>
                <w:color w:val="000000"/>
                <w:spacing w:val="0"/>
                <w:sz w:val="21"/>
                <w:szCs w:val="21"/>
                <w:highlight w:val="none"/>
              </w:rPr>
              <w:t>第二个信封（报价文件）评分分值构成：</w:t>
            </w:r>
            <w:r>
              <w:rPr>
                <w:rFonts w:hint="eastAsia" w:ascii="宋体" w:hAnsi="宋体" w:eastAsia="宋体" w:cs="宋体"/>
                <w:color w:val="000000"/>
                <w:spacing w:val="0"/>
                <w:sz w:val="21"/>
                <w:szCs w:val="21"/>
                <w:highlight w:val="none"/>
              </w:rPr>
              <w:t xml:space="preserve"> </w:t>
            </w:r>
          </w:p>
          <w:p w14:paraId="23A5B1EB">
            <w:pPr>
              <w:keepNext w:val="0"/>
              <w:keepLines w:val="0"/>
              <w:pageBreakBefore w:val="0"/>
              <w:tabs>
                <w:tab w:val="left" w:pos="1782"/>
              </w:tabs>
              <w:kinsoku/>
              <w:wordWrap/>
              <w:topLinePunct w:val="0"/>
              <w:autoSpaceDE w:val="0"/>
              <w:autoSpaceDN w:val="0"/>
              <w:bidi w:val="0"/>
              <w:adjustRightInd w:val="0"/>
              <w:snapToGrid/>
              <w:spacing w:line="360" w:lineRule="auto"/>
              <w:ind w:left="120" w:leftChars="50" w:right="120" w:rightChars="50" w:firstLine="0" w:firstLineChars="0"/>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评标价：</w:t>
            </w:r>
            <w:r>
              <w:rPr>
                <w:rFonts w:hint="eastAsia" w:ascii="宋体" w:hAnsi="宋体" w:eastAsia="宋体" w:cs="宋体"/>
                <w:color w:val="000000"/>
                <w:spacing w:val="0"/>
                <w:sz w:val="21"/>
                <w:szCs w:val="21"/>
                <w:highlight w:val="none"/>
                <w:u w:val="single"/>
              </w:rPr>
              <w:t>10</w:t>
            </w:r>
            <w:r>
              <w:rPr>
                <w:rFonts w:hint="eastAsia" w:ascii="宋体" w:hAnsi="宋体" w:eastAsia="宋体" w:cs="宋体"/>
                <w:color w:val="000000"/>
                <w:spacing w:val="0"/>
                <w:sz w:val="21"/>
                <w:szCs w:val="21"/>
                <w:highlight w:val="none"/>
              </w:rPr>
              <w:t>分</w:t>
            </w:r>
          </w:p>
        </w:tc>
      </w:tr>
      <w:tr w14:paraId="6E0116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19" w:hRule="exact"/>
        </w:trPr>
        <w:tc>
          <w:tcPr>
            <w:tcW w:w="1103" w:type="dxa"/>
            <w:tcBorders>
              <w:tl2br w:val="nil"/>
              <w:tr2bl w:val="nil"/>
            </w:tcBorders>
            <w:noWrap w:val="0"/>
            <w:vAlign w:val="center"/>
          </w:tcPr>
          <w:p w14:paraId="4F29223F">
            <w:pPr>
              <w:pStyle w:val="13"/>
              <w:keepNext w:val="0"/>
              <w:keepLines w:val="0"/>
              <w:pageBreakBefore w:val="0"/>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center"/>
              <w:textAlignment w:val="auto"/>
              <w:rPr>
                <w:rFonts w:hint="eastAsia" w:ascii="宋体" w:hAnsi="宋体" w:eastAsia="宋体" w:cs="宋体"/>
                <w:color w:val="000000"/>
                <w:spacing w:val="0"/>
                <w:sz w:val="21"/>
                <w:szCs w:val="21"/>
                <w:highlight w:val="none"/>
              </w:rPr>
            </w:pPr>
          </w:p>
          <w:p w14:paraId="54EE094C">
            <w:pPr>
              <w:pStyle w:val="13"/>
              <w:keepNext w:val="0"/>
              <w:keepLines w:val="0"/>
              <w:pageBreakBefore w:val="0"/>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center"/>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2.2.2</w:t>
            </w:r>
          </w:p>
        </w:tc>
        <w:tc>
          <w:tcPr>
            <w:tcW w:w="1213" w:type="dxa"/>
            <w:tcBorders>
              <w:tl2br w:val="nil"/>
              <w:tr2bl w:val="nil"/>
            </w:tcBorders>
            <w:noWrap w:val="0"/>
            <w:vAlign w:val="center"/>
          </w:tcPr>
          <w:p w14:paraId="6666B113">
            <w:pPr>
              <w:pStyle w:val="13"/>
              <w:keepNext w:val="0"/>
              <w:keepLines w:val="0"/>
              <w:pageBreakBefore w:val="0"/>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center"/>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评标基准价 计算方法</w:t>
            </w:r>
          </w:p>
        </w:tc>
        <w:tc>
          <w:tcPr>
            <w:tcW w:w="6425" w:type="dxa"/>
            <w:tcBorders>
              <w:tl2br w:val="nil"/>
              <w:tr2bl w:val="nil"/>
            </w:tcBorders>
            <w:noWrap w:val="0"/>
            <w:vAlign w:val="center"/>
          </w:tcPr>
          <w:p w14:paraId="201CA623">
            <w:pPr>
              <w:pStyle w:val="13"/>
              <w:keepNext w:val="0"/>
              <w:keepLines w:val="0"/>
              <w:pageBreakBefore w:val="0"/>
              <w:kinsoku/>
              <w:wordWrap/>
              <w:overflowPunct w:val="0"/>
              <w:topLinePunct w:val="0"/>
              <w:autoSpaceDE w:val="0"/>
              <w:autoSpaceDN w:val="0"/>
              <w:bidi w:val="0"/>
              <w:adjustRightInd w:val="0"/>
              <w:snapToGrid/>
              <w:spacing w:beforeLines="0" w:afterLines="0" w:line="360" w:lineRule="auto"/>
              <w:ind w:left="120" w:leftChars="50" w:right="120" w:rightChars="50" w:firstLine="0" w:firstLineChars="0"/>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 xml:space="preserve">评标基准价的计算： </w:t>
            </w:r>
          </w:p>
          <w:p w14:paraId="4762B43E">
            <w:pPr>
              <w:pStyle w:val="13"/>
              <w:keepNext w:val="0"/>
              <w:keepLines w:val="0"/>
              <w:pageBreakBefore w:val="0"/>
              <w:kinsoku/>
              <w:wordWrap/>
              <w:overflowPunct w:val="0"/>
              <w:topLinePunct w:val="0"/>
              <w:autoSpaceDE w:val="0"/>
              <w:autoSpaceDN w:val="0"/>
              <w:bidi w:val="0"/>
              <w:adjustRightInd w:val="0"/>
              <w:snapToGrid/>
              <w:spacing w:beforeLines="0" w:afterLines="0" w:line="360" w:lineRule="auto"/>
              <w:ind w:left="120" w:leftChars="50" w:right="120" w:rightChars="50" w:firstLine="420" w:firstLineChars="200"/>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在开标现场，招标人将当场计算并宣布评标基准价。</w:t>
            </w:r>
          </w:p>
          <w:p w14:paraId="633DE394">
            <w:pPr>
              <w:pStyle w:val="13"/>
              <w:keepNext w:val="0"/>
              <w:keepLines w:val="0"/>
              <w:pageBreakBefore w:val="0"/>
              <w:kinsoku/>
              <w:wordWrap/>
              <w:overflowPunct w:val="0"/>
              <w:topLinePunct w:val="0"/>
              <w:autoSpaceDE w:val="0"/>
              <w:autoSpaceDN w:val="0"/>
              <w:bidi w:val="0"/>
              <w:adjustRightInd w:val="0"/>
              <w:snapToGrid/>
              <w:spacing w:beforeLines="0" w:afterLines="0" w:line="360" w:lineRule="auto"/>
              <w:ind w:left="120" w:leftChars="50" w:right="120" w:rightChars="50" w:firstLine="0" w:firstLineChars="0"/>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（1）评标价的确定：</w:t>
            </w:r>
          </w:p>
          <w:p w14:paraId="68D337F3">
            <w:pPr>
              <w:pStyle w:val="13"/>
              <w:keepNext w:val="0"/>
              <w:keepLines w:val="0"/>
              <w:pageBreakBefore w:val="0"/>
              <w:kinsoku/>
              <w:wordWrap/>
              <w:overflowPunct w:val="0"/>
              <w:topLinePunct w:val="0"/>
              <w:autoSpaceDE w:val="0"/>
              <w:autoSpaceDN w:val="0"/>
              <w:bidi w:val="0"/>
              <w:adjustRightInd w:val="0"/>
              <w:snapToGrid/>
              <w:spacing w:beforeLines="0" w:afterLines="0" w:line="360" w:lineRule="auto"/>
              <w:ind w:left="120" w:leftChars="50" w:right="120" w:rightChars="50" w:firstLine="420" w:firstLineChars="200"/>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评标价＝投标函文字报价</w:t>
            </w:r>
          </w:p>
          <w:p w14:paraId="06086BDD">
            <w:pPr>
              <w:pStyle w:val="13"/>
              <w:keepNext w:val="0"/>
              <w:keepLines w:val="0"/>
              <w:pageBreakBefore w:val="0"/>
              <w:kinsoku/>
              <w:wordWrap/>
              <w:overflowPunct w:val="0"/>
              <w:topLinePunct w:val="0"/>
              <w:autoSpaceDE w:val="0"/>
              <w:autoSpaceDN w:val="0"/>
              <w:bidi w:val="0"/>
              <w:adjustRightInd w:val="0"/>
              <w:snapToGrid/>
              <w:spacing w:beforeLines="0" w:afterLines="0" w:line="360" w:lineRule="auto"/>
              <w:ind w:left="120" w:leftChars="50" w:right="120" w:rightChars="50" w:firstLine="0" w:firstLineChars="0"/>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 xml:space="preserve">（2）评标价平均值的计算： </w:t>
            </w:r>
          </w:p>
          <w:p w14:paraId="473E9DED">
            <w:pPr>
              <w:pStyle w:val="13"/>
              <w:keepNext w:val="0"/>
              <w:keepLines w:val="0"/>
              <w:pageBreakBefore w:val="0"/>
              <w:tabs>
                <w:tab w:val="left" w:pos="3570"/>
              </w:tabs>
              <w:kinsoku/>
              <w:wordWrap/>
              <w:overflowPunct w:val="0"/>
              <w:topLinePunct w:val="0"/>
              <w:autoSpaceDE w:val="0"/>
              <w:autoSpaceDN w:val="0"/>
              <w:bidi w:val="0"/>
              <w:adjustRightInd w:val="0"/>
              <w:snapToGrid/>
              <w:spacing w:beforeLines="0" w:afterLines="0" w:line="360" w:lineRule="auto"/>
              <w:ind w:left="120" w:leftChars="50" w:right="120" w:rightChars="50" w:firstLine="0" w:firstLineChars="0"/>
              <w:jc w:val="both"/>
              <w:textAlignment w:val="auto"/>
              <w:rPr>
                <w:rFonts w:hint="eastAsia" w:ascii="宋体" w:hAnsi="宋体" w:eastAsia="宋体" w:cs="宋体"/>
                <w:color w:val="000000"/>
                <w:spacing w:val="0"/>
                <w:sz w:val="21"/>
                <w:szCs w:val="21"/>
                <w:highlight w:val="none"/>
                <w:lang w:eastAsia="zh-CN"/>
              </w:rPr>
            </w:pPr>
            <w:r>
              <w:rPr>
                <w:rFonts w:hint="eastAsia" w:ascii="宋体" w:hAnsi="宋体" w:eastAsia="宋体" w:cs="宋体"/>
                <w:color w:val="000000"/>
                <w:spacing w:val="0"/>
                <w:sz w:val="21"/>
                <w:szCs w:val="21"/>
                <w:highlight w:val="none"/>
              </w:rPr>
              <w:t>按第一个信封（商务及技术文件）评审得分由高到低的顺序选取前 3 名（若不足 3 名，则选取相应数量），对其第二个信封（报价文件）的评标价作算术平均（根据第二章“投标人须知”第 5.2.4 项规定在开标现场被宣布为不进入评标基准价计算的投标报价除外），将该平均值作为评标价平均值</w:t>
            </w:r>
            <w:r>
              <w:rPr>
                <w:rFonts w:hint="eastAsia" w:ascii="宋体" w:hAnsi="宋体" w:cs="宋体"/>
                <w:color w:val="000000"/>
                <w:spacing w:val="0"/>
                <w:sz w:val="21"/>
                <w:szCs w:val="21"/>
                <w:highlight w:val="none"/>
                <w:lang w:eastAsia="zh-CN"/>
              </w:rPr>
              <w:t>。</w:t>
            </w:r>
          </w:p>
          <w:p w14:paraId="6A0E7B0A">
            <w:pPr>
              <w:pStyle w:val="13"/>
              <w:keepNext w:val="0"/>
              <w:keepLines w:val="0"/>
              <w:pageBreakBefore w:val="0"/>
              <w:tabs>
                <w:tab w:val="left" w:pos="3570"/>
              </w:tabs>
              <w:kinsoku/>
              <w:wordWrap/>
              <w:overflowPunct w:val="0"/>
              <w:topLinePunct w:val="0"/>
              <w:autoSpaceDE w:val="0"/>
              <w:autoSpaceDN w:val="0"/>
              <w:bidi w:val="0"/>
              <w:adjustRightInd w:val="0"/>
              <w:snapToGrid/>
              <w:spacing w:beforeLines="0" w:afterLines="0" w:line="360" w:lineRule="auto"/>
              <w:ind w:left="120" w:leftChars="50" w:right="120" w:rightChars="50" w:firstLine="0" w:firstLineChars="0"/>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 xml:space="preserve">（3）评标基准价的确定： </w:t>
            </w:r>
          </w:p>
          <w:p w14:paraId="657AFE5A">
            <w:pPr>
              <w:pStyle w:val="13"/>
              <w:keepNext w:val="0"/>
              <w:keepLines w:val="0"/>
              <w:pageBreakBefore w:val="0"/>
              <w:kinsoku/>
              <w:wordWrap/>
              <w:overflowPunct w:val="0"/>
              <w:topLinePunct w:val="0"/>
              <w:autoSpaceDE w:val="0"/>
              <w:autoSpaceDN w:val="0"/>
              <w:bidi w:val="0"/>
              <w:adjustRightInd w:val="0"/>
              <w:snapToGrid/>
              <w:spacing w:beforeLines="0" w:afterLines="0" w:line="360" w:lineRule="auto"/>
              <w:ind w:left="120" w:leftChars="50" w:right="120" w:rightChars="50" w:firstLine="420" w:firstLineChars="200"/>
              <w:jc w:val="both"/>
              <w:textAlignment w:val="auto"/>
              <w:rPr>
                <w:rFonts w:hint="eastAsia" w:ascii="宋体" w:hAnsi="宋体" w:eastAsia="宋体" w:cs="宋体"/>
                <w:color w:val="000000"/>
                <w:spacing w:val="0"/>
                <w:sz w:val="21"/>
                <w:szCs w:val="21"/>
                <w:highlight w:val="none"/>
                <w:lang w:eastAsia="zh-CN"/>
              </w:rPr>
            </w:pPr>
            <w:r>
              <w:rPr>
                <w:rFonts w:hint="eastAsia" w:ascii="宋体" w:hAnsi="宋体" w:eastAsia="宋体" w:cs="宋体"/>
                <w:color w:val="000000"/>
                <w:spacing w:val="0"/>
                <w:sz w:val="21"/>
                <w:szCs w:val="21"/>
                <w:highlight w:val="none"/>
                <w:lang w:eastAsia="zh-CN"/>
              </w:rPr>
              <w:t>评标基准价=评标价平均值。</w:t>
            </w:r>
          </w:p>
          <w:p w14:paraId="08955BA8">
            <w:pPr>
              <w:pStyle w:val="13"/>
              <w:keepNext w:val="0"/>
              <w:keepLines w:val="0"/>
              <w:pageBreakBefore w:val="0"/>
              <w:kinsoku/>
              <w:wordWrap/>
              <w:overflowPunct w:val="0"/>
              <w:topLinePunct w:val="0"/>
              <w:autoSpaceDE w:val="0"/>
              <w:autoSpaceDN w:val="0"/>
              <w:bidi w:val="0"/>
              <w:adjustRightInd w:val="0"/>
              <w:snapToGrid/>
              <w:spacing w:beforeLines="0" w:afterLines="0" w:line="360" w:lineRule="auto"/>
              <w:ind w:left="120" w:leftChars="50" w:right="120" w:rightChars="50" w:firstLine="420" w:firstLineChars="200"/>
              <w:jc w:val="both"/>
              <w:textAlignment w:val="auto"/>
              <w:rPr>
                <w:rFonts w:hint="eastAsia" w:ascii="宋体" w:hAnsi="宋体" w:eastAsia="宋体" w:cs="宋体"/>
                <w:color w:val="000000"/>
                <w:spacing w:val="0"/>
                <w:sz w:val="21"/>
                <w:szCs w:val="21"/>
                <w:highlight w:val="none"/>
                <w:lang w:eastAsia="zh-CN"/>
              </w:rPr>
            </w:pPr>
            <w:r>
              <w:rPr>
                <w:rFonts w:hint="eastAsia" w:ascii="宋体" w:hAnsi="宋体" w:eastAsia="宋体" w:cs="宋体"/>
                <w:color w:val="000000"/>
                <w:spacing w:val="0"/>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ascii="宋体" w:hAnsi="宋体" w:cs="宋体"/>
                <w:color w:val="000000"/>
                <w:spacing w:val="0"/>
                <w:sz w:val="21"/>
                <w:szCs w:val="21"/>
                <w:highlight w:val="none"/>
                <w:lang w:eastAsia="zh-CN"/>
              </w:rPr>
              <w:t>。</w:t>
            </w:r>
          </w:p>
        </w:tc>
      </w:tr>
      <w:tr w14:paraId="0DAACA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30" w:hRule="exact"/>
        </w:trPr>
        <w:tc>
          <w:tcPr>
            <w:tcW w:w="1103" w:type="dxa"/>
            <w:tcBorders>
              <w:tl2br w:val="nil"/>
              <w:tr2bl w:val="nil"/>
            </w:tcBorders>
            <w:noWrap w:val="0"/>
            <w:vAlign w:val="center"/>
          </w:tcPr>
          <w:p w14:paraId="4CE266CA">
            <w:pPr>
              <w:pStyle w:val="13"/>
              <w:keepNext w:val="0"/>
              <w:keepLines w:val="0"/>
              <w:pageBreakBefore w:val="0"/>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center"/>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2.2.3</w:t>
            </w:r>
          </w:p>
        </w:tc>
        <w:tc>
          <w:tcPr>
            <w:tcW w:w="1213" w:type="dxa"/>
            <w:tcBorders>
              <w:tl2br w:val="nil"/>
              <w:tr2bl w:val="nil"/>
            </w:tcBorders>
            <w:noWrap w:val="0"/>
            <w:vAlign w:val="center"/>
          </w:tcPr>
          <w:p w14:paraId="47DC1652">
            <w:pPr>
              <w:pStyle w:val="13"/>
              <w:keepNext w:val="0"/>
              <w:keepLines w:val="0"/>
              <w:pageBreakBefore w:val="0"/>
              <w:kinsoku/>
              <w:wordWrap/>
              <w:overflowPunct w:val="0"/>
              <w:topLinePunct w:val="0"/>
              <w:autoSpaceDE w:val="0"/>
              <w:autoSpaceDN w:val="0"/>
              <w:bidi w:val="0"/>
              <w:adjustRightInd w:val="0"/>
              <w:snapToGrid/>
              <w:spacing w:beforeLines="0" w:afterLines="0" w:line="320" w:lineRule="exact"/>
              <w:ind w:left="120" w:leftChars="50" w:right="120" w:rightChars="50" w:firstLine="0" w:firstLineChars="0"/>
              <w:jc w:val="center"/>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评标价的偏差率计算公式</w:t>
            </w:r>
          </w:p>
        </w:tc>
        <w:tc>
          <w:tcPr>
            <w:tcW w:w="6425" w:type="dxa"/>
            <w:tcBorders>
              <w:tl2br w:val="nil"/>
              <w:tr2bl w:val="nil"/>
            </w:tcBorders>
            <w:noWrap w:val="0"/>
            <w:vAlign w:val="center"/>
          </w:tcPr>
          <w:p w14:paraId="61DAD111">
            <w:pPr>
              <w:pStyle w:val="13"/>
              <w:keepNext w:val="0"/>
              <w:keepLines w:val="0"/>
              <w:pageBreakBefore w:val="0"/>
              <w:kinsoku/>
              <w:wordWrap/>
              <w:overflowPunct w:val="0"/>
              <w:topLinePunct w:val="0"/>
              <w:autoSpaceDE w:val="0"/>
              <w:autoSpaceDN w:val="0"/>
              <w:bidi w:val="0"/>
              <w:adjustRightInd w:val="0"/>
              <w:snapToGrid/>
              <w:spacing w:beforeLines="0" w:afterLines="0" w:line="360" w:lineRule="auto"/>
              <w:ind w:left="120" w:leftChars="50" w:right="120" w:rightChars="50" w:firstLine="0" w:firstLineChars="0"/>
              <w:jc w:val="both"/>
              <w:textAlignment w:val="auto"/>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偏差率=100%×（投标人评标价－评标基准价）/评标基准价</w:t>
            </w:r>
          </w:p>
          <w:p w14:paraId="69816139">
            <w:pPr>
              <w:pStyle w:val="13"/>
              <w:keepNext w:val="0"/>
              <w:keepLines w:val="0"/>
              <w:pageBreakBefore w:val="0"/>
              <w:kinsoku/>
              <w:wordWrap/>
              <w:overflowPunct w:val="0"/>
              <w:topLinePunct w:val="0"/>
              <w:autoSpaceDE w:val="0"/>
              <w:autoSpaceDN w:val="0"/>
              <w:bidi w:val="0"/>
              <w:adjustRightInd w:val="0"/>
              <w:snapToGrid/>
              <w:spacing w:beforeLines="0" w:afterLines="0" w:line="360" w:lineRule="auto"/>
              <w:ind w:left="120" w:leftChars="50" w:right="120" w:rightChars="50" w:firstLine="0" w:firstLineChars="0"/>
              <w:jc w:val="both"/>
              <w:textAlignment w:val="auto"/>
              <w:rPr>
                <w:rFonts w:hint="eastAsia" w:ascii="宋体" w:hAnsi="宋体" w:eastAsia="宋体" w:cs="宋体"/>
                <w:color w:val="000000"/>
                <w:spacing w:val="0"/>
                <w:sz w:val="21"/>
                <w:szCs w:val="21"/>
                <w:highlight w:val="none"/>
                <w:lang w:eastAsia="zh-CN"/>
              </w:rPr>
            </w:pPr>
            <w:r>
              <w:rPr>
                <w:rFonts w:hint="eastAsia" w:ascii="宋体" w:hAnsi="宋体" w:eastAsia="宋体" w:cs="宋体"/>
                <w:color w:val="000000"/>
                <w:spacing w:val="0"/>
                <w:sz w:val="21"/>
                <w:szCs w:val="21"/>
                <w:highlight w:val="none"/>
              </w:rPr>
              <w:t>偏差率保留</w:t>
            </w:r>
            <w:r>
              <w:rPr>
                <w:rFonts w:hint="eastAsia" w:ascii="宋体" w:hAnsi="宋体" w:cs="宋体"/>
                <w:color w:val="000000"/>
                <w:spacing w:val="0"/>
                <w:sz w:val="21"/>
                <w:szCs w:val="21"/>
                <w:highlight w:val="none"/>
                <w:lang w:val="en-US" w:eastAsia="zh-CN"/>
              </w:rPr>
              <w:t>九</w:t>
            </w:r>
            <w:r>
              <w:rPr>
                <w:rFonts w:hint="eastAsia" w:ascii="宋体" w:hAnsi="宋体" w:eastAsia="宋体" w:cs="宋体"/>
                <w:color w:val="000000"/>
                <w:spacing w:val="0"/>
                <w:sz w:val="21"/>
                <w:szCs w:val="21"/>
                <w:highlight w:val="none"/>
              </w:rPr>
              <w:t>位小数</w:t>
            </w:r>
            <w:r>
              <w:rPr>
                <w:rFonts w:hint="eastAsia" w:ascii="宋体" w:hAnsi="宋体" w:cs="宋体"/>
                <w:color w:val="000000"/>
                <w:spacing w:val="0"/>
                <w:sz w:val="21"/>
                <w:szCs w:val="21"/>
                <w:highlight w:val="none"/>
                <w:lang w:eastAsia="zh-CN"/>
              </w:rPr>
              <w:t>，</w:t>
            </w:r>
            <w:r>
              <w:rPr>
                <w:rFonts w:hint="eastAsia" w:ascii="宋体" w:hAnsi="宋体" w:eastAsia="宋体" w:cs="宋体"/>
                <w:color w:val="auto"/>
                <w:sz w:val="21"/>
                <w:highlight w:val="none"/>
                <w:lang w:eastAsia="zh-CN"/>
              </w:rPr>
              <w:t>小数点后第</w:t>
            </w:r>
            <w:r>
              <w:rPr>
                <w:rFonts w:hint="eastAsia" w:eastAsia="宋体" w:cs="宋体"/>
                <w:color w:val="auto"/>
                <w:sz w:val="21"/>
                <w:highlight w:val="none"/>
                <w:lang w:eastAsia="zh-CN"/>
              </w:rPr>
              <w:t>十</w:t>
            </w:r>
            <w:r>
              <w:rPr>
                <w:rFonts w:hint="eastAsia" w:ascii="宋体" w:hAnsi="宋体" w:eastAsia="宋体" w:cs="宋体"/>
                <w:color w:val="auto"/>
                <w:sz w:val="21"/>
                <w:highlight w:val="none"/>
                <w:lang w:eastAsia="zh-CN"/>
              </w:rPr>
              <w:t>位“四舍五入”</w:t>
            </w:r>
          </w:p>
        </w:tc>
      </w:tr>
    </w:tbl>
    <w:tbl>
      <w:tblPr>
        <w:tblStyle w:val="10"/>
        <w:tblpPr w:leftFromText="180" w:rightFromText="180" w:vertAnchor="text" w:horzAnchor="page" w:tblpX="1573" w:tblpY="259"/>
        <w:tblOverlap w:val="never"/>
        <w:tblW w:w="87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25"/>
        <w:gridCol w:w="854"/>
        <w:gridCol w:w="778"/>
        <w:gridCol w:w="998"/>
        <w:gridCol w:w="1102"/>
        <w:gridCol w:w="763"/>
        <w:gridCol w:w="3421"/>
      </w:tblGrid>
      <w:tr w14:paraId="1F2F0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tblHeader/>
        </w:trPr>
        <w:tc>
          <w:tcPr>
            <w:tcW w:w="825" w:type="dxa"/>
            <w:vMerge w:val="restart"/>
            <w:noWrap w:val="0"/>
            <w:vAlign w:val="center"/>
          </w:tcPr>
          <w:p w14:paraId="476FBAF6">
            <w:pPr>
              <w:pStyle w:val="17"/>
              <w:keepNext w:val="0"/>
              <w:keepLines w:val="0"/>
              <w:pageBreakBefore w:val="0"/>
              <w:kinsoku/>
              <w:wordWrap/>
              <w:topLinePunct w:val="0"/>
              <w:autoSpaceDE w:val="0"/>
              <w:autoSpaceDN w:val="0"/>
              <w:bidi w:val="0"/>
              <w:adjustRightInd w:val="0"/>
              <w:snapToGrid/>
              <w:spacing w:line="320" w:lineRule="exact"/>
              <w:ind w:right="120" w:rightChars="50"/>
              <w:contextualSpacing/>
              <w:jc w:val="center"/>
              <w:textAlignment w:val="auto"/>
              <w:rPr>
                <w:rFonts w:hint="eastAsia" w:hAnsi="宋体"/>
                <w:b/>
                <w:sz w:val="21"/>
                <w:szCs w:val="21"/>
                <w:highlight w:val="none"/>
              </w:rPr>
            </w:pPr>
            <w:r>
              <w:rPr>
                <w:rFonts w:hint="eastAsia" w:hAnsi="宋体"/>
                <w:b/>
                <w:sz w:val="21"/>
                <w:szCs w:val="21"/>
                <w:highlight w:val="none"/>
              </w:rPr>
              <w:t>条款号</w:t>
            </w:r>
          </w:p>
        </w:tc>
        <w:tc>
          <w:tcPr>
            <w:tcW w:w="4495" w:type="dxa"/>
            <w:gridSpan w:val="5"/>
            <w:noWrap w:val="0"/>
            <w:vAlign w:val="center"/>
          </w:tcPr>
          <w:p w14:paraId="2BDD23E2">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ascii="宋体" w:hAnsi="宋体"/>
                <w:b/>
                <w:color w:val="000000"/>
                <w:sz w:val="21"/>
                <w:szCs w:val="21"/>
                <w:highlight w:val="none"/>
              </w:rPr>
            </w:pPr>
            <w:r>
              <w:rPr>
                <w:rFonts w:ascii="宋体" w:hAnsi="宋体"/>
                <w:b/>
                <w:color w:val="000000"/>
                <w:sz w:val="21"/>
                <w:szCs w:val="21"/>
                <w:highlight w:val="none"/>
              </w:rPr>
              <w:t>评分因素与权重分值</w:t>
            </w:r>
          </w:p>
        </w:tc>
        <w:tc>
          <w:tcPr>
            <w:tcW w:w="3421" w:type="dxa"/>
            <w:vMerge w:val="restart"/>
            <w:noWrap w:val="0"/>
            <w:vAlign w:val="center"/>
          </w:tcPr>
          <w:p w14:paraId="547DE84F">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hAnsi="宋体"/>
                <w:b/>
                <w:sz w:val="21"/>
                <w:szCs w:val="21"/>
                <w:highlight w:val="none"/>
              </w:rPr>
            </w:pPr>
            <w:r>
              <w:rPr>
                <w:rFonts w:hint="eastAsia" w:hAnsi="宋体"/>
                <w:b/>
                <w:sz w:val="21"/>
                <w:szCs w:val="21"/>
                <w:highlight w:val="none"/>
              </w:rPr>
              <w:t>评分标准</w:t>
            </w:r>
          </w:p>
        </w:tc>
      </w:tr>
      <w:tr w14:paraId="615C1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90" w:hRule="atLeast"/>
          <w:tblHeader/>
        </w:trPr>
        <w:tc>
          <w:tcPr>
            <w:tcW w:w="825" w:type="dxa"/>
            <w:vMerge w:val="continue"/>
            <w:noWrap w:val="0"/>
            <w:vAlign w:val="center"/>
          </w:tcPr>
          <w:p w14:paraId="4E7A34C5">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ascii="宋体" w:hAnsi="宋体"/>
                <w:b/>
                <w:color w:val="000000"/>
                <w:sz w:val="21"/>
                <w:szCs w:val="21"/>
                <w:highlight w:val="none"/>
              </w:rPr>
            </w:pPr>
          </w:p>
        </w:tc>
        <w:tc>
          <w:tcPr>
            <w:tcW w:w="854" w:type="dxa"/>
            <w:noWrap w:val="0"/>
            <w:vAlign w:val="center"/>
          </w:tcPr>
          <w:p w14:paraId="543B3207">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hAnsi="宋体"/>
                <w:b/>
                <w:sz w:val="21"/>
                <w:szCs w:val="21"/>
                <w:highlight w:val="none"/>
              </w:rPr>
            </w:pPr>
            <w:r>
              <w:rPr>
                <w:rFonts w:hint="eastAsia" w:hAnsi="宋体"/>
                <w:b/>
                <w:sz w:val="21"/>
                <w:szCs w:val="21"/>
                <w:highlight w:val="none"/>
              </w:rPr>
              <w:t>评分</w:t>
            </w:r>
          </w:p>
          <w:p w14:paraId="1B4C8353">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hAnsi="宋体"/>
                <w:b/>
                <w:sz w:val="21"/>
                <w:szCs w:val="21"/>
                <w:highlight w:val="none"/>
              </w:rPr>
            </w:pPr>
            <w:r>
              <w:rPr>
                <w:rFonts w:hint="eastAsia" w:hAnsi="宋体"/>
                <w:b/>
                <w:sz w:val="21"/>
                <w:szCs w:val="21"/>
                <w:highlight w:val="none"/>
              </w:rPr>
              <w:t>因素</w:t>
            </w:r>
          </w:p>
        </w:tc>
        <w:tc>
          <w:tcPr>
            <w:tcW w:w="778" w:type="dxa"/>
            <w:noWrap w:val="0"/>
            <w:vAlign w:val="center"/>
          </w:tcPr>
          <w:p w14:paraId="23A20B3F">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hAnsi="宋体"/>
                <w:b/>
                <w:sz w:val="21"/>
                <w:szCs w:val="21"/>
                <w:highlight w:val="none"/>
              </w:rPr>
            </w:pPr>
            <w:r>
              <w:rPr>
                <w:rFonts w:hint="eastAsia" w:hAnsi="宋体"/>
                <w:b/>
                <w:sz w:val="21"/>
                <w:szCs w:val="21"/>
                <w:highlight w:val="none"/>
              </w:rPr>
              <w:t>评分因素权重分值</w:t>
            </w:r>
          </w:p>
        </w:tc>
        <w:tc>
          <w:tcPr>
            <w:tcW w:w="2100" w:type="dxa"/>
            <w:gridSpan w:val="2"/>
            <w:noWrap w:val="0"/>
            <w:vAlign w:val="center"/>
          </w:tcPr>
          <w:p w14:paraId="43E4D0AE">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hAnsi="宋体"/>
                <w:b/>
                <w:sz w:val="21"/>
                <w:szCs w:val="21"/>
                <w:highlight w:val="none"/>
              </w:rPr>
            </w:pPr>
            <w:r>
              <w:rPr>
                <w:rFonts w:hint="eastAsia" w:hAnsi="宋体"/>
                <w:b/>
                <w:sz w:val="21"/>
                <w:szCs w:val="21"/>
                <w:highlight w:val="none"/>
              </w:rPr>
              <w:t>各评分因素细分项</w:t>
            </w:r>
          </w:p>
        </w:tc>
        <w:tc>
          <w:tcPr>
            <w:tcW w:w="763" w:type="dxa"/>
            <w:noWrap w:val="0"/>
            <w:vAlign w:val="center"/>
          </w:tcPr>
          <w:p w14:paraId="6215EA53">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hAnsi="宋体"/>
                <w:b/>
                <w:sz w:val="21"/>
                <w:szCs w:val="21"/>
                <w:highlight w:val="none"/>
              </w:rPr>
            </w:pPr>
            <w:r>
              <w:rPr>
                <w:rFonts w:hint="eastAsia" w:hAnsi="宋体"/>
                <w:b/>
                <w:sz w:val="21"/>
                <w:szCs w:val="21"/>
                <w:highlight w:val="none"/>
              </w:rPr>
              <w:t>分值</w:t>
            </w:r>
          </w:p>
        </w:tc>
        <w:tc>
          <w:tcPr>
            <w:tcW w:w="3421" w:type="dxa"/>
            <w:vMerge w:val="continue"/>
            <w:noWrap w:val="0"/>
            <w:vAlign w:val="center"/>
          </w:tcPr>
          <w:p w14:paraId="099B14EF">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textAlignment w:val="auto"/>
              <w:rPr>
                <w:rFonts w:hint="eastAsia" w:hAnsi="宋体"/>
                <w:b/>
                <w:sz w:val="21"/>
                <w:szCs w:val="21"/>
                <w:highlight w:val="none"/>
              </w:rPr>
            </w:pPr>
          </w:p>
        </w:tc>
      </w:tr>
      <w:tr w14:paraId="0C054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1" w:hRule="atLeast"/>
        </w:trPr>
        <w:tc>
          <w:tcPr>
            <w:tcW w:w="825" w:type="dxa"/>
            <w:vMerge w:val="restart"/>
            <w:noWrap w:val="0"/>
            <w:vAlign w:val="center"/>
          </w:tcPr>
          <w:p w14:paraId="1105E72D">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2.2.4（1）</w:t>
            </w:r>
          </w:p>
        </w:tc>
        <w:tc>
          <w:tcPr>
            <w:tcW w:w="854" w:type="dxa"/>
            <w:vMerge w:val="restart"/>
            <w:noWrap w:val="0"/>
            <w:vAlign w:val="center"/>
          </w:tcPr>
          <w:p w14:paraId="1FCD2E75">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技术建议书</w:t>
            </w:r>
          </w:p>
        </w:tc>
        <w:tc>
          <w:tcPr>
            <w:tcW w:w="778" w:type="dxa"/>
            <w:vMerge w:val="restart"/>
            <w:noWrap w:val="0"/>
            <w:vAlign w:val="center"/>
          </w:tcPr>
          <w:p w14:paraId="0C528FEA">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40</w:t>
            </w:r>
            <w:r>
              <w:rPr>
                <w:rFonts w:hint="eastAsia" w:ascii="宋体" w:hAnsi="宋体" w:eastAsia="宋体" w:cs="宋体"/>
                <w:color w:val="000000"/>
                <w:sz w:val="21"/>
                <w:szCs w:val="21"/>
                <w:highlight w:val="none"/>
              </w:rPr>
              <w:t>分</w:t>
            </w:r>
          </w:p>
        </w:tc>
        <w:tc>
          <w:tcPr>
            <w:tcW w:w="2100" w:type="dxa"/>
            <w:gridSpan w:val="2"/>
            <w:noWrap w:val="0"/>
            <w:vAlign w:val="center"/>
          </w:tcPr>
          <w:p w14:paraId="31BDB93B">
            <w:pPr>
              <w:keepNext w:val="0"/>
              <w:keepLines w:val="0"/>
              <w:pageBreakBefore w:val="0"/>
              <w:kinsoku/>
              <w:wordWrap/>
              <w:topLinePunct w:val="0"/>
              <w:autoSpaceDE w:val="0"/>
              <w:autoSpaceDN w:val="0"/>
              <w:bidi w:val="0"/>
              <w:adjustRightInd w:val="0"/>
              <w:snapToGrid/>
              <w:spacing w:line="320" w:lineRule="exact"/>
              <w:ind w:left="0" w:leftChars="0" w:right="120" w:rightChars="50" w:firstLine="0" w:firstLineChars="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检测服务工作方案</w:t>
            </w:r>
          </w:p>
        </w:tc>
        <w:tc>
          <w:tcPr>
            <w:tcW w:w="763" w:type="dxa"/>
            <w:noWrap w:val="0"/>
            <w:vAlign w:val="center"/>
          </w:tcPr>
          <w:p w14:paraId="6E1A81F4">
            <w:pPr>
              <w:autoSpaceDN w:val="0"/>
              <w:ind w:left="0" w:leftChars="0" w:firstLine="210" w:firstLineChars="100"/>
              <w:jc w:val="both"/>
              <w:textAlignment w:val="cente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10分</w:t>
            </w:r>
          </w:p>
        </w:tc>
        <w:tc>
          <w:tcPr>
            <w:tcW w:w="3421" w:type="dxa"/>
            <w:noWrap w:val="0"/>
            <w:vAlign w:val="center"/>
          </w:tcPr>
          <w:p w14:paraId="3F277CB9">
            <w:pPr>
              <w:tabs>
                <w:tab w:val="right" w:pos="7380"/>
              </w:tabs>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检测服务工作方案方法、程序和措施方法好、程序清晰、措施合理得9.0-10.0分；较好得7.5-9.0分；一般得6.0-7.5分。</w:t>
            </w:r>
          </w:p>
        </w:tc>
      </w:tr>
      <w:tr w14:paraId="45F97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42" w:hRule="atLeast"/>
        </w:trPr>
        <w:tc>
          <w:tcPr>
            <w:tcW w:w="825" w:type="dxa"/>
            <w:vMerge w:val="continue"/>
            <w:noWrap w:val="0"/>
            <w:vAlign w:val="center"/>
          </w:tcPr>
          <w:p w14:paraId="608069C0">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854" w:type="dxa"/>
            <w:vMerge w:val="continue"/>
            <w:noWrap w:val="0"/>
            <w:vAlign w:val="center"/>
          </w:tcPr>
          <w:p w14:paraId="57866B84">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778" w:type="dxa"/>
            <w:vMerge w:val="continue"/>
            <w:noWrap w:val="0"/>
            <w:vAlign w:val="center"/>
          </w:tcPr>
          <w:p w14:paraId="7B281A26">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p>
        </w:tc>
        <w:tc>
          <w:tcPr>
            <w:tcW w:w="2100" w:type="dxa"/>
            <w:gridSpan w:val="2"/>
            <w:noWrap w:val="0"/>
            <w:vAlign w:val="center"/>
          </w:tcPr>
          <w:p w14:paraId="1F8472AC">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工作管理制度</w:t>
            </w:r>
          </w:p>
        </w:tc>
        <w:tc>
          <w:tcPr>
            <w:tcW w:w="763" w:type="dxa"/>
            <w:noWrap w:val="0"/>
            <w:vAlign w:val="center"/>
          </w:tcPr>
          <w:p w14:paraId="4257BAB6">
            <w:pPr>
              <w:autoSpaceDN w:val="0"/>
              <w:ind w:left="0" w:leftChars="0" w:firstLine="210" w:firstLineChars="100"/>
              <w:jc w:val="both"/>
              <w:textAlignment w:val="center"/>
              <w:rPr>
                <w:rFonts w:hint="eastAsia" w:ascii="宋体" w:hAnsi="宋体" w:eastAsia="宋体" w:cs="宋体"/>
                <w:color w:val="000000"/>
                <w:sz w:val="21"/>
                <w:szCs w:val="21"/>
                <w:highlight w:val="none"/>
              </w:rPr>
            </w:pPr>
            <w:r>
              <w:rPr>
                <w:rFonts w:hint="eastAsia" w:eastAsia="宋体" w:cs="宋体"/>
                <w:sz w:val="21"/>
                <w:szCs w:val="21"/>
                <w:highlight w:val="none"/>
                <w:lang w:val="en-US" w:eastAsia="zh-CN"/>
              </w:rPr>
              <w:t>5分</w:t>
            </w:r>
          </w:p>
        </w:tc>
        <w:tc>
          <w:tcPr>
            <w:tcW w:w="3421" w:type="dxa"/>
            <w:noWrap w:val="0"/>
            <w:vAlign w:val="center"/>
          </w:tcPr>
          <w:p w14:paraId="3665BEF3">
            <w:pPr>
              <w:tabs>
                <w:tab w:val="right" w:pos="7380"/>
              </w:tabs>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工作管理制度制定的合理可行，落实制度措施有力得4.5-5.0分；较好得3.5-4.5分；一般得3.0-3.5分。</w:t>
            </w:r>
          </w:p>
        </w:tc>
      </w:tr>
      <w:tr w14:paraId="45657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25" w:type="dxa"/>
            <w:vMerge w:val="continue"/>
            <w:noWrap w:val="0"/>
            <w:vAlign w:val="center"/>
          </w:tcPr>
          <w:p w14:paraId="44393736">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854" w:type="dxa"/>
            <w:vMerge w:val="continue"/>
            <w:noWrap w:val="0"/>
            <w:vAlign w:val="center"/>
          </w:tcPr>
          <w:p w14:paraId="57C080DF">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778" w:type="dxa"/>
            <w:vMerge w:val="continue"/>
            <w:noWrap w:val="0"/>
            <w:vAlign w:val="center"/>
          </w:tcPr>
          <w:p w14:paraId="16B1622E">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p>
        </w:tc>
        <w:tc>
          <w:tcPr>
            <w:tcW w:w="2100" w:type="dxa"/>
            <w:gridSpan w:val="2"/>
            <w:noWrap w:val="0"/>
            <w:vAlign w:val="center"/>
          </w:tcPr>
          <w:p w14:paraId="463BE2E7">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文件资料管理及安全制度</w:t>
            </w:r>
          </w:p>
        </w:tc>
        <w:tc>
          <w:tcPr>
            <w:tcW w:w="763" w:type="dxa"/>
            <w:noWrap w:val="0"/>
            <w:vAlign w:val="center"/>
          </w:tcPr>
          <w:p w14:paraId="03F2340E">
            <w:pPr>
              <w:autoSpaceDN w:val="0"/>
              <w:ind w:left="0" w:leftChars="0" w:firstLine="210" w:firstLineChars="100"/>
              <w:jc w:val="both"/>
              <w:textAlignment w:val="center"/>
              <w:rPr>
                <w:rFonts w:hint="eastAsia" w:ascii="宋体" w:hAnsi="宋体" w:eastAsia="宋体" w:cs="宋体"/>
                <w:color w:val="000000"/>
                <w:sz w:val="21"/>
                <w:szCs w:val="21"/>
                <w:highlight w:val="none"/>
                <w:lang w:eastAsia="zh-CN"/>
              </w:rPr>
            </w:pPr>
            <w:r>
              <w:rPr>
                <w:rFonts w:hint="eastAsia" w:eastAsia="宋体" w:cs="宋体"/>
                <w:sz w:val="21"/>
                <w:szCs w:val="21"/>
                <w:highlight w:val="none"/>
                <w:lang w:val="en-US" w:eastAsia="zh-CN"/>
              </w:rPr>
              <w:t>10分</w:t>
            </w:r>
          </w:p>
        </w:tc>
        <w:tc>
          <w:tcPr>
            <w:tcW w:w="3421" w:type="dxa"/>
            <w:noWrap w:val="0"/>
            <w:vAlign w:val="center"/>
          </w:tcPr>
          <w:p w14:paraId="3FE9704C">
            <w:pPr>
              <w:tabs>
                <w:tab w:val="right" w:pos="7380"/>
              </w:tabs>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文件资料管理的方法、流程和措施方法好、流程清晰、措施得力，安全制度健全、措施合理可行得9.0-10.0分；较好得7.5-9.0分；一般得6.0-7.5分。</w:t>
            </w:r>
          </w:p>
        </w:tc>
      </w:tr>
      <w:tr w14:paraId="0E410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40" w:hRule="atLeast"/>
        </w:trPr>
        <w:tc>
          <w:tcPr>
            <w:tcW w:w="825" w:type="dxa"/>
            <w:vMerge w:val="continue"/>
            <w:noWrap w:val="0"/>
            <w:vAlign w:val="center"/>
          </w:tcPr>
          <w:p w14:paraId="007257C2">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854" w:type="dxa"/>
            <w:vMerge w:val="continue"/>
            <w:noWrap w:val="0"/>
            <w:vAlign w:val="center"/>
          </w:tcPr>
          <w:p w14:paraId="53DB16B7">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778" w:type="dxa"/>
            <w:vMerge w:val="continue"/>
            <w:noWrap w:val="0"/>
            <w:vAlign w:val="center"/>
          </w:tcPr>
          <w:p w14:paraId="240D32B0">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p>
        </w:tc>
        <w:tc>
          <w:tcPr>
            <w:tcW w:w="2100" w:type="dxa"/>
            <w:gridSpan w:val="2"/>
            <w:noWrap w:val="0"/>
            <w:vAlign w:val="center"/>
          </w:tcPr>
          <w:p w14:paraId="4E24EB89">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检测服务工作侧重点的分析与建议</w:t>
            </w:r>
          </w:p>
        </w:tc>
        <w:tc>
          <w:tcPr>
            <w:tcW w:w="763" w:type="dxa"/>
            <w:noWrap w:val="0"/>
            <w:vAlign w:val="center"/>
          </w:tcPr>
          <w:p w14:paraId="666805B9">
            <w:pPr>
              <w:autoSpaceDN w:val="0"/>
              <w:ind w:left="0" w:leftChars="0" w:firstLine="210" w:firstLineChars="100"/>
              <w:jc w:val="both"/>
              <w:textAlignment w:val="center"/>
              <w:rPr>
                <w:rFonts w:hint="eastAsia" w:eastAsia="宋体" w:cs="宋体"/>
                <w:sz w:val="21"/>
                <w:szCs w:val="21"/>
                <w:highlight w:val="none"/>
                <w:lang w:val="en-US" w:eastAsia="zh-CN"/>
              </w:rPr>
            </w:pPr>
            <w:r>
              <w:rPr>
                <w:rFonts w:hint="eastAsia" w:ascii="宋体" w:hAnsi="宋体" w:eastAsia="宋体" w:cs="宋体"/>
                <w:sz w:val="21"/>
                <w:szCs w:val="21"/>
                <w:highlight w:val="none"/>
              </w:rPr>
              <w:t>10分</w:t>
            </w:r>
          </w:p>
        </w:tc>
        <w:tc>
          <w:tcPr>
            <w:tcW w:w="3421" w:type="dxa"/>
            <w:noWrap w:val="0"/>
            <w:vAlign w:val="center"/>
          </w:tcPr>
          <w:p w14:paraId="18318FB0">
            <w:pPr>
              <w:tabs>
                <w:tab w:val="right" w:pos="7380"/>
              </w:tabs>
              <w:rPr>
                <w:rFonts w:hint="eastAsia" w:ascii="宋体" w:hAnsi="宋体" w:eastAsia="宋体" w:cs="宋体"/>
                <w:sz w:val="21"/>
                <w:szCs w:val="21"/>
                <w:highlight w:val="none"/>
              </w:rPr>
            </w:pPr>
            <w:r>
              <w:rPr>
                <w:rFonts w:hint="eastAsia" w:ascii="宋体" w:hAnsi="宋体" w:eastAsia="宋体" w:cs="宋体"/>
                <w:sz w:val="21"/>
                <w:szCs w:val="21"/>
                <w:highlight w:val="none"/>
              </w:rPr>
              <w:t>对本项目侧重点的分析与建议合理得9.0-10.0分；较好得7.5-9.0分；一般得6.0-7.5分。</w:t>
            </w:r>
          </w:p>
        </w:tc>
      </w:tr>
      <w:tr w14:paraId="3368F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6" w:hRule="atLeast"/>
        </w:trPr>
        <w:tc>
          <w:tcPr>
            <w:tcW w:w="825" w:type="dxa"/>
            <w:vMerge w:val="continue"/>
            <w:noWrap w:val="0"/>
            <w:vAlign w:val="center"/>
          </w:tcPr>
          <w:p w14:paraId="66D7AC82">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854" w:type="dxa"/>
            <w:vMerge w:val="continue"/>
            <w:noWrap w:val="0"/>
            <w:vAlign w:val="center"/>
          </w:tcPr>
          <w:p w14:paraId="332077D6">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778" w:type="dxa"/>
            <w:vMerge w:val="continue"/>
            <w:noWrap w:val="0"/>
            <w:vAlign w:val="center"/>
          </w:tcPr>
          <w:p w14:paraId="54E35938">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p>
        </w:tc>
        <w:tc>
          <w:tcPr>
            <w:tcW w:w="2100" w:type="dxa"/>
            <w:gridSpan w:val="2"/>
            <w:noWrap w:val="0"/>
            <w:vAlign w:val="center"/>
          </w:tcPr>
          <w:p w14:paraId="33C53CD2">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检测服务工作具体承诺</w:t>
            </w:r>
          </w:p>
        </w:tc>
        <w:tc>
          <w:tcPr>
            <w:tcW w:w="763" w:type="dxa"/>
            <w:noWrap w:val="0"/>
            <w:vAlign w:val="center"/>
          </w:tcPr>
          <w:p w14:paraId="1C7D16D0">
            <w:pPr>
              <w:autoSpaceDN w:val="0"/>
              <w:ind w:left="0" w:leftChars="0" w:firstLine="210" w:firstLineChars="100"/>
              <w:jc w:val="both"/>
              <w:textAlignment w:val="cente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5分</w:t>
            </w:r>
          </w:p>
        </w:tc>
        <w:tc>
          <w:tcPr>
            <w:tcW w:w="3421" w:type="dxa"/>
            <w:noWrap w:val="0"/>
            <w:vAlign w:val="center"/>
          </w:tcPr>
          <w:p w14:paraId="3252465A">
            <w:pPr>
              <w:tabs>
                <w:tab w:val="right" w:pos="7380"/>
              </w:tabs>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检测报告工作具体承诺好，执行有力得4.5-5.0分；较好得3.5-4.5分；一般得3.0-3.5分。</w:t>
            </w:r>
          </w:p>
        </w:tc>
      </w:tr>
      <w:tr w14:paraId="0FA0C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8" w:hRule="atLeast"/>
        </w:trPr>
        <w:tc>
          <w:tcPr>
            <w:tcW w:w="825" w:type="dxa"/>
            <w:vMerge w:val="restart"/>
            <w:noWrap w:val="0"/>
            <w:vAlign w:val="center"/>
          </w:tcPr>
          <w:p w14:paraId="1B977128">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2.2.4（2）</w:t>
            </w:r>
            <w:r>
              <w:rPr>
                <w:rFonts w:hint="eastAsia" w:ascii="宋体" w:hAnsi="宋体" w:eastAsia="宋体" w:cs="宋体"/>
                <w:sz w:val="21"/>
                <w:szCs w:val="21"/>
                <w:highlight w:val="none"/>
              </w:rPr>
              <w:t xml:space="preserve"> </w:t>
            </w:r>
          </w:p>
        </w:tc>
        <w:tc>
          <w:tcPr>
            <w:tcW w:w="854" w:type="dxa"/>
            <w:vMerge w:val="restart"/>
            <w:noWrap w:val="0"/>
            <w:vAlign w:val="center"/>
          </w:tcPr>
          <w:p w14:paraId="3EC7670C">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主要</w:t>
            </w:r>
          </w:p>
          <w:p w14:paraId="6A2FB74C">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人员</w:t>
            </w:r>
          </w:p>
        </w:tc>
        <w:tc>
          <w:tcPr>
            <w:tcW w:w="778" w:type="dxa"/>
            <w:vMerge w:val="restart"/>
            <w:noWrap w:val="0"/>
            <w:vAlign w:val="center"/>
          </w:tcPr>
          <w:p w14:paraId="1868DB28">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分</w:t>
            </w:r>
          </w:p>
        </w:tc>
        <w:tc>
          <w:tcPr>
            <w:tcW w:w="998" w:type="dxa"/>
            <w:vMerge w:val="restart"/>
            <w:noWrap w:val="0"/>
            <w:vAlign w:val="center"/>
          </w:tcPr>
          <w:p w14:paraId="6D9FAFD9">
            <w:pPr>
              <w:autoSpaceDN w:val="0"/>
              <w:ind w:left="0" w:leftChars="0" w:firstLine="0" w:firstLineChars="0"/>
              <w:jc w:val="both"/>
              <w:textAlignment w:val="center"/>
              <w:rPr>
                <w:rFonts w:hint="eastAsia" w:ascii="宋体" w:hAnsi="宋体" w:eastAsia="宋体" w:cs="宋体"/>
                <w:sz w:val="21"/>
                <w:szCs w:val="21"/>
                <w:highlight w:val="none"/>
              </w:rPr>
            </w:pPr>
            <w:bookmarkStart w:id="2" w:name="_GoBack"/>
            <w:bookmarkEnd w:id="2"/>
            <w:r>
              <w:rPr>
                <w:rFonts w:hint="eastAsia" w:ascii="宋体" w:hAnsi="宋体" w:eastAsia="宋体" w:cs="宋体"/>
                <w:sz w:val="21"/>
                <w:szCs w:val="21"/>
                <w:highlight w:val="none"/>
              </w:rPr>
              <w:t>项目负责人</w:t>
            </w:r>
            <w:r>
              <w:rPr>
                <w:rFonts w:hint="eastAsia" w:ascii="宋体" w:hAnsi="宋体" w:eastAsia="宋体" w:cs="宋体"/>
                <w:kern w:val="0"/>
                <w:sz w:val="21"/>
                <w:szCs w:val="21"/>
                <w:highlight w:val="none"/>
                <w:lang w:val="zh-CN"/>
              </w:rPr>
              <w:t>(</w:t>
            </w:r>
            <w:r>
              <w:rPr>
                <w:rFonts w:hint="eastAsia" w:ascii="宋体" w:hAnsi="宋体" w:eastAsia="宋体" w:cs="宋体"/>
                <w:kern w:val="0"/>
                <w:sz w:val="21"/>
                <w:szCs w:val="21"/>
                <w:highlight w:val="none"/>
                <w:lang w:val="en-US" w:eastAsia="zh-CN"/>
              </w:rPr>
              <w:t>20</w:t>
            </w:r>
            <w:r>
              <w:rPr>
                <w:rFonts w:hint="eastAsia" w:ascii="宋体" w:hAnsi="宋体" w:eastAsia="宋体" w:cs="宋体"/>
                <w:sz w:val="21"/>
                <w:szCs w:val="21"/>
                <w:highlight w:val="none"/>
              </w:rPr>
              <w:t>分</w:t>
            </w:r>
            <w:r>
              <w:rPr>
                <w:rFonts w:hint="eastAsia" w:ascii="宋体" w:hAnsi="宋体" w:eastAsia="宋体" w:cs="宋体"/>
                <w:kern w:val="0"/>
                <w:sz w:val="21"/>
                <w:szCs w:val="21"/>
                <w:highlight w:val="none"/>
                <w:lang w:val="zh-CN"/>
              </w:rPr>
              <w:t>)</w:t>
            </w:r>
          </w:p>
        </w:tc>
        <w:tc>
          <w:tcPr>
            <w:tcW w:w="1865" w:type="dxa"/>
            <w:gridSpan w:val="2"/>
            <w:noWrap w:val="0"/>
            <w:vAlign w:val="center"/>
          </w:tcPr>
          <w:p w14:paraId="69D5337D">
            <w:pPr>
              <w:autoSpaceDN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rPr>
              <w:t>基本分(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c>
          <w:tcPr>
            <w:tcW w:w="3421" w:type="dxa"/>
            <w:noWrap w:val="0"/>
            <w:vAlign w:val="center"/>
          </w:tcPr>
          <w:p w14:paraId="35FF9FFF">
            <w:pPr>
              <w:autoSpaceDN w:val="0"/>
              <w:textAlignment w:val="cente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满足招标文件最低要求得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r>
      <w:tr w14:paraId="5D71D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9" w:hRule="atLeast"/>
        </w:trPr>
        <w:tc>
          <w:tcPr>
            <w:tcW w:w="825" w:type="dxa"/>
            <w:vMerge w:val="continue"/>
            <w:noWrap w:val="0"/>
            <w:vAlign w:val="center"/>
          </w:tcPr>
          <w:p w14:paraId="46745BBD">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854" w:type="dxa"/>
            <w:vMerge w:val="continue"/>
            <w:noWrap w:val="0"/>
            <w:vAlign w:val="center"/>
          </w:tcPr>
          <w:p w14:paraId="5F38DB31">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778" w:type="dxa"/>
            <w:vMerge w:val="continue"/>
            <w:noWrap w:val="0"/>
            <w:vAlign w:val="center"/>
          </w:tcPr>
          <w:p w14:paraId="2847D495">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lang w:val="en-US" w:eastAsia="zh-CN"/>
              </w:rPr>
            </w:pPr>
          </w:p>
        </w:tc>
        <w:tc>
          <w:tcPr>
            <w:tcW w:w="998" w:type="dxa"/>
            <w:vMerge w:val="continue"/>
            <w:noWrap w:val="0"/>
            <w:vAlign w:val="center"/>
          </w:tcPr>
          <w:p w14:paraId="440C4823">
            <w:pPr>
              <w:jc w:val="center"/>
              <w:rPr>
                <w:rFonts w:hint="eastAsia" w:ascii="宋体" w:hAnsi="宋体" w:eastAsia="宋体" w:cs="宋体"/>
                <w:sz w:val="21"/>
                <w:szCs w:val="21"/>
                <w:highlight w:val="none"/>
              </w:rPr>
            </w:pPr>
          </w:p>
        </w:tc>
        <w:tc>
          <w:tcPr>
            <w:tcW w:w="1865" w:type="dxa"/>
            <w:gridSpan w:val="2"/>
            <w:noWrap w:val="0"/>
            <w:vAlign w:val="center"/>
          </w:tcPr>
          <w:p w14:paraId="5C01158B">
            <w:pPr>
              <w:autoSpaceDN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职称</w:t>
            </w:r>
            <w:r>
              <w:rPr>
                <w:rFonts w:hint="eastAsia" w:ascii="宋体" w:hAnsi="宋体" w:eastAsia="宋体" w:cs="宋体"/>
                <w:sz w:val="21"/>
                <w:szCs w:val="21"/>
                <w:highlight w:val="none"/>
              </w:rPr>
              <w:t>加分(</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c>
          <w:tcPr>
            <w:tcW w:w="3421" w:type="dxa"/>
            <w:noWrap w:val="0"/>
            <w:vAlign w:val="center"/>
          </w:tcPr>
          <w:p w14:paraId="06A13805">
            <w:pPr>
              <w:tabs>
                <w:tab w:val="right" w:pos="7380"/>
              </w:tabs>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项目负责人具有副高级及以上职称的加2分。</w:t>
            </w:r>
          </w:p>
        </w:tc>
      </w:tr>
      <w:tr w14:paraId="0EED4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66" w:hRule="atLeast"/>
        </w:trPr>
        <w:tc>
          <w:tcPr>
            <w:tcW w:w="825" w:type="dxa"/>
            <w:vMerge w:val="continue"/>
            <w:noWrap w:val="0"/>
            <w:vAlign w:val="center"/>
          </w:tcPr>
          <w:p w14:paraId="73FA7B07">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854" w:type="dxa"/>
            <w:vMerge w:val="continue"/>
            <w:noWrap w:val="0"/>
            <w:vAlign w:val="center"/>
          </w:tcPr>
          <w:p w14:paraId="388584B6">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778" w:type="dxa"/>
            <w:vMerge w:val="continue"/>
            <w:noWrap w:val="0"/>
            <w:vAlign w:val="center"/>
          </w:tcPr>
          <w:p w14:paraId="0622AD57">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lang w:val="en-US" w:eastAsia="zh-CN"/>
              </w:rPr>
            </w:pPr>
          </w:p>
        </w:tc>
        <w:tc>
          <w:tcPr>
            <w:tcW w:w="998" w:type="dxa"/>
            <w:vMerge w:val="continue"/>
            <w:noWrap w:val="0"/>
            <w:vAlign w:val="center"/>
          </w:tcPr>
          <w:p w14:paraId="7887D217">
            <w:pPr>
              <w:jc w:val="center"/>
              <w:rPr>
                <w:rFonts w:hint="eastAsia" w:ascii="宋体" w:hAnsi="宋体" w:eastAsia="宋体" w:cs="宋体"/>
                <w:sz w:val="21"/>
                <w:szCs w:val="21"/>
                <w:highlight w:val="none"/>
              </w:rPr>
            </w:pPr>
          </w:p>
        </w:tc>
        <w:tc>
          <w:tcPr>
            <w:tcW w:w="1865" w:type="dxa"/>
            <w:gridSpan w:val="2"/>
            <w:noWrap w:val="0"/>
            <w:vAlign w:val="center"/>
          </w:tcPr>
          <w:p w14:paraId="2032412A">
            <w:pPr>
              <w:autoSpaceDN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业绩加分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3421" w:type="dxa"/>
            <w:noWrap w:val="0"/>
            <w:vAlign w:val="center"/>
          </w:tcPr>
          <w:p w14:paraId="04180F95">
            <w:pPr>
              <w:tabs>
                <w:tab w:val="right" w:pos="7380"/>
              </w:tabs>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投标人满足招标文件资格审查条件最低要求的基础上，每增加1个高速公路工程检测服务项目负责人业绩加3分，最多加6分。（项目负责人必须附合同协议书或业主单位出具的业绩证明等相关材料，证明其在某项目上担任过以上职务）。</w:t>
            </w:r>
          </w:p>
        </w:tc>
      </w:tr>
      <w:tr w14:paraId="4B322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95" w:hRule="atLeast"/>
        </w:trPr>
        <w:tc>
          <w:tcPr>
            <w:tcW w:w="825" w:type="dxa"/>
            <w:noWrap w:val="0"/>
            <w:vAlign w:val="center"/>
          </w:tcPr>
          <w:p w14:paraId="35B69E2C">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2.2.4（3） </w:t>
            </w:r>
          </w:p>
        </w:tc>
        <w:tc>
          <w:tcPr>
            <w:tcW w:w="854" w:type="dxa"/>
            <w:noWrap w:val="0"/>
            <w:vAlign w:val="center"/>
          </w:tcPr>
          <w:p w14:paraId="1272920B">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评标价 </w:t>
            </w:r>
          </w:p>
          <w:p w14:paraId="7BD9DEA8">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p>
        </w:tc>
        <w:tc>
          <w:tcPr>
            <w:tcW w:w="778" w:type="dxa"/>
            <w:noWrap w:val="0"/>
            <w:vAlign w:val="center"/>
          </w:tcPr>
          <w:p w14:paraId="0A17B5E3">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10分</w:t>
            </w:r>
          </w:p>
        </w:tc>
        <w:tc>
          <w:tcPr>
            <w:tcW w:w="6284" w:type="dxa"/>
            <w:gridSpan w:val="4"/>
            <w:noWrap w:val="0"/>
            <w:vAlign w:val="center"/>
          </w:tcPr>
          <w:p w14:paraId="5E887237">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评标价得分计算公式示例： </w:t>
            </w:r>
          </w:p>
          <w:p w14:paraId="657F57A0">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（1）如果投标人的评标价&gt;评标基准价，则评标价得分＝F－偏差率×100× E1； </w:t>
            </w:r>
          </w:p>
          <w:p w14:paraId="290A88E3">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（2）如果投标人的评标价≤评标基准价，则评标价得分＝F＋偏差率× 100× E2。 </w:t>
            </w:r>
          </w:p>
          <w:p w14:paraId="766C6884">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其中：F是投标价所占的评分满分值10分，E1是评标价每高于评标基准价一个百分点的扣分值</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，E2是评标价每低于评标基准价一个百分点的扣分值0.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p>
        </w:tc>
      </w:tr>
      <w:tr w14:paraId="33509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56" w:hRule="atLeast"/>
        </w:trPr>
        <w:tc>
          <w:tcPr>
            <w:tcW w:w="825" w:type="dxa"/>
            <w:vMerge w:val="restart"/>
            <w:noWrap w:val="0"/>
            <w:vAlign w:val="center"/>
          </w:tcPr>
          <w:p w14:paraId="3ABD843A">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2.2.4（4） </w:t>
            </w:r>
          </w:p>
          <w:p w14:paraId="6396D41B">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p>
        </w:tc>
        <w:tc>
          <w:tcPr>
            <w:tcW w:w="854" w:type="dxa"/>
            <w:vMerge w:val="restart"/>
            <w:noWrap w:val="0"/>
            <w:vAlign w:val="center"/>
          </w:tcPr>
          <w:p w14:paraId="38526AD0">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其他因素</w:t>
            </w:r>
          </w:p>
        </w:tc>
        <w:tc>
          <w:tcPr>
            <w:tcW w:w="778" w:type="dxa"/>
            <w:vMerge w:val="restart"/>
            <w:noWrap w:val="0"/>
            <w:vAlign w:val="center"/>
          </w:tcPr>
          <w:p w14:paraId="179BA485">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w:t>
            </w:r>
          </w:p>
        </w:tc>
        <w:tc>
          <w:tcPr>
            <w:tcW w:w="998" w:type="dxa"/>
            <w:vMerge w:val="restart"/>
            <w:noWrap w:val="0"/>
            <w:vAlign w:val="center"/>
          </w:tcPr>
          <w:p w14:paraId="6DD3BAB9">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分</w:t>
            </w:r>
          </w:p>
        </w:tc>
        <w:tc>
          <w:tcPr>
            <w:tcW w:w="1102" w:type="dxa"/>
            <w:noWrap w:val="0"/>
            <w:vAlign w:val="center"/>
          </w:tcPr>
          <w:p w14:paraId="0D7FEB9E">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基本分</w:t>
            </w:r>
          </w:p>
        </w:tc>
        <w:tc>
          <w:tcPr>
            <w:tcW w:w="763" w:type="dxa"/>
            <w:noWrap w:val="0"/>
            <w:vAlign w:val="center"/>
          </w:tcPr>
          <w:p w14:paraId="02D1863E">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p>
        </w:tc>
        <w:tc>
          <w:tcPr>
            <w:tcW w:w="3421" w:type="dxa"/>
            <w:noWrap w:val="0"/>
            <w:vAlign w:val="center"/>
          </w:tcPr>
          <w:p w14:paraId="437BD7B3">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满足招标文件资格审查条件最低要求的，得基本分</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tc>
      </w:tr>
      <w:tr w14:paraId="36E1D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45" w:hRule="atLeast"/>
        </w:trPr>
        <w:tc>
          <w:tcPr>
            <w:tcW w:w="825" w:type="dxa"/>
            <w:vMerge w:val="continue"/>
            <w:noWrap w:val="0"/>
            <w:vAlign w:val="center"/>
          </w:tcPr>
          <w:p w14:paraId="36F8A237">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p>
        </w:tc>
        <w:tc>
          <w:tcPr>
            <w:tcW w:w="854" w:type="dxa"/>
            <w:vMerge w:val="continue"/>
            <w:noWrap w:val="0"/>
            <w:vAlign w:val="center"/>
          </w:tcPr>
          <w:p w14:paraId="6231A003">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contextualSpacing/>
              <w:jc w:val="center"/>
              <w:textAlignment w:val="auto"/>
              <w:rPr>
                <w:rFonts w:hint="eastAsia" w:ascii="宋体" w:hAnsi="宋体" w:eastAsia="宋体" w:cs="宋体"/>
                <w:color w:val="000000"/>
                <w:sz w:val="21"/>
                <w:szCs w:val="21"/>
                <w:highlight w:val="none"/>
              </w:rPr>
            </w:pPr>
          </w:p>
        </w:tc>
        <w:tc>
          <w:tcPr>
            <w:tcW w:w="778" w:type="dxa"/>
            <w:vMerge w:val="continue"/>
            <w:noWrap w:val="0"/>
            <w:vAlign w:val="center"/>
          </w:tcPr>
          <w:p w14:paraId="3564FC61">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p>
        </w:tc>
        <w:tc>
          <w:tcPr>
            <w:tcW w:w="998" w:type="dxa"/>
            <w:vMerge w:val="continue"/>
            <w:noWrap w:val="0"/>
            <w:vAlign w:val="center"/>
          </w:tcPr>
          <w:p w14:paraId="501B802A">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lang w:val="en-US" w:eastAsia="zh-CN"/>
              </w:rPr>
            </w:pPr>
          </w:p>
        </w:tc>
        <w:tc>
          <w:tcPr>
            <w:tcW w:w="1102" w:type="dxa"/>
            <w:noWrap w:val="0"/>
            <w:vAlign w:val="center"/>
          </w:tcPr>
          <w:p w14:paraId="09BDD899">
            <w:pPr>
              <w:autoSpaceDN w:val="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业绩加分</w:t>
            </w:r>
          </w:p>
        </w:tc>
        <w:tc>
          <w:tcPr>
            <w:tcW w:w="763" w:type="dxa"/>
            <w:noWrap w:val="0"/>
            <w:vAlign w:val="center"/>
          </w:tcPr>
          <w:p w14:paraId="60CF028A">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8分</w:t>
            </w:r>
          </w:p>
        </w:tc>
        <w:tc>
          <w:tcPr>
            <w:tcW w:w="3421" w:type="dxa"/>
            <w:noWrap w:val="0"/>
            <w:vAlign w:val="center"/>
          </w:tcPr>
          <w:p w14:paraId="76615B27">
            <w:pPr>
              <w:spacing w:line="280" w:lineRule="exact"/>
              <w:ind w:left="146" w:leftChars="61" w:right="168" w:rightChars="7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投标人满足招标文件资格审查条件最低要求的基础上，每增加一个业绩加4分，最多加8分。</w:t>
            </w:r>
          </w:p>
        </w:tc>
      </w:tr>
      <w:tr w14:paraId="4BF29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4" w:hRule="atLeast"/>
        </w:trPr>
        <w:tc>
          <w:tcPr>
            <w:tcW w:w="825" w:type="dxa"/>
            <w:vMerge w:val="continue"/>
            <w:noWrap w:val="0"/>
            <w:vAlign w:val="center"/>
          </w:tcPr>
          <w:p w14:paraId="2ED73001">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sz w:val="21"/>
                <w:szCs w:val="21"/>
                <w:highlight w:val="none"/>
              </w:rPr>
            </w:pPr>
          </w:p>
        </w:tc>
        <w:tc>
          <w:tcPr>
            <w:tcW w:w="854" w:type="dxa"/>
            <w:vMerge w:val="continue"/>
            <w:noWrap w:val="0"/>
            <w:vAlign w:val="center"/>
          </w:tcPr>
          <w:p w14:paraId="6C6B2035">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p>
        </w:tc>
        <w:tc>
          <w:tcPr>
            <w:tcW w:w="778" w:type="dxa"/>
            <w:noWrap w:val="0"/>
            <w:vAlign w:val="center"/>
          </w:tcPr>
          <w:p w14:paraId="6DD51A61">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履约信誉</w:t>
            </w:r>
          </w:p>
        </w:tc>
        <w:tc>
          <w:tcPr>
            <w:tcW w:w="2863" w:type="dxa"/>
            <w:gridSpan w:val="3"/>
            <w:noWrap w:val="0"/>
            <w:vAlign w:val="center"/>
          </w:tcPr>
          <w:p w14:paraId="4F86CBA3">
            <w:pPr>
              <w:pStyle w:val="17"/>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center"/>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10分</w:t>
            </w:r>
          </w:p>
        </w:tc>
        <w:tc>
          <w:tcPr>
            <w:tcW w:w="3421" w:type="dxa"/>
            <w:noWrap w:val="0"/>
            <w:vAlign w:val="center"/>
          </w:tcPr>
          <w:p w14:paraId="7C02097C">
            <w:pPr>
              <w:tabs>
                <w:tab w:val="left" w:pos="4816"/>
                <w:tab w:val="right" w:pos="7380"/>
              </w:tabs>
              <w:rPr>
                <w:rFonts w:hint="eastAsia" w:ascii="宋体" w:hAnsi="宋体" w:eastAsia="宋体" w:cs="宋体"/>
                <w:sz w:val="21"/>
                <w:szCs w:val="21"/>
                <w:highlight w:val="none"/>
              </w:rPr>
            </w:pPr>
            <w:r>
              <w:rPr>
                <w:rFonts w:hint="eastAsia" w:ascii="宋体" w:hAnsi="宋体" w:eastAsia="宋体" w:cs="宋体"/>
                <w:sz w:val="21"/>
                <w:szCs w:val="21"/>
                <w:highlight w:val="none"/>
              </w:rPr>
              <w:t>被评为AA级的得</w:t>
            </w:r>
            <w:r>
              <w:rPr>
                <w:rFonts w:hint="eastAsia" w:eastAsia="宋体" w:cs="宋体"/>
                <w:sz w:val="21"/>
                <w:szCs w:val="21"/>
                <w:highlight w:val="none"/>
                <w:lang w:val="en-US" w:eastAsia="zh-CN"/>
              </w:rPr>
              <w:t>10</w:t>
            </w:r>
            <w:r>
              <w:rPr>
                <w:rFonts w:hint="eastAsia" w:ascii="宋体" w:hAnsi="宋体" w:eastAsia="宋体" w:cs="宋体"/>
                <w:sz w:val="21"/>
                <w:szCs w:val="21"/>
                <w:highlight w:val="none"/>
              </w:rPr>
              <w:t>分，A级的得</w:t>
            </w:r>
            <w:r>
              <w:rPr>
                <w:rFonts w:hint="eastAsia" w:eastAsia="宋体" w:cs="宋体"/>
                <w:sz w:val="21"/>
                <w:szCs w:val="21"/>
                <w:highlight w:val="none"/>
                <w:lang w:val="en-US" w:eastAsia="zh-CN"/>
              </w:rPr>
              <w:t>8.5</w:t>
            </w:r>
            <w:r>
              <w:rPr>
                <w:rFonts w:hint="eastAsia" w:ascii="宋体" w:hAnsi="宋体" w:eastAsia="宋体" w:cs="宋体"/>
                <w:sz w:val="21"/>
                <w:szCs w:val="21"/>
                <w:highlight w:val="none"/>
              </w:rPr>
              <w:t>分，B级的得</w:t>
            </w:r>
            <w:r>
              <w:rPr>
                <w:rFonts w:hint="eastAsia" w:eastAsia="宋体" w:cs="宋体"/>
                <w:sz w:val="21"/>
                <w:szCs w:val="21"/>
                <w:highlight w:val="none"/>
                <w:lang w:val="en-US" w:eastAsia="zh-CN"/>
              </w:rPr>
              <w:t>7.5</w:t>
            </w:r>
            <w:r>
              <w:rPr>
                <w:rFonts w:hint="eastAsia" w:ascii="宋体" w:hAnsi="宋体" w:eastAsia="宋体" w:cs="宋体"/>
                <w:sz w:val="21"/>
                <w:szCs w:val="21"/>
                <w:highlight w:val="none"/>
              </w:rPr>
              <w:t>分，C级的得</w:t>
            </w:r>
            <w:r>
              <w:rPr>
                <w:rFonts w:hint="eastAsia" w:eastAsia="宋体" w:cs="宋体"/>
                <w:sz w:val="21"/>
                <w:szCs w:val="21"/>
                <w:highlight w:val="none"/>
                <w:lang w:val="en-US" w:eastAsia="zh-CN"/>
              </w:rPr>
              <w:t>6</w:t>
            </w:r>
            <w:r>
              <w:rPr>
                <w:rFonts w:hint="eastAsia" w:ascii="宋体" w:hAnsi="宋体" w:eastAsia="宋体" w:cs="宋体"/>
                <w:sz w:val="21"/>
                <w:szCs w:val="21"/>
                <w:highlight w:val="none"/>
              </w:rPr>
              <w:t>分。</w:t>
            </w:r>
          </w:p>
          <w:p w14:paraId="7DC82C20">
            <w:pPr>
              <w:tabs>
                <w:tab w:val="left" w:pos="4816"/>
                <w:tab w:val="right" w:pos="7380"/>
              </w:tabs>
              <w:rPr>
                <w:rFonts w:hint="eastAsia" w:ascii="宋体" w:hAnsi="宋体" w:eastAsia="宋体" w:cs="宋体"/>
                <w:sz w:val="21"/>
                <w:szCs w:val="21"/>
                <w:highlight w:val="none"/>
              </w:rPr>
            </w:pPr>
            <w:r>
              <w:rPr>
                <w:rFonts w:hint="eastAsia" w:ascii="宋体" w:hAnsi="宋体" w:eastAsia="宋体" w:cs="宋体"/>
                <w:sz w:val="21"/>
                <w:szCs w:val="21"/>
                <w:highlight w:val="none"/>
              </w:rPr>
              <w:t>采用</w:t>
            </w:r>
            <w:r>
              <w:rPr>
                <w:rFonts w:hint="eastAsia" w:eastAsia="宋体" w:cs="宋体"/>
                <w:sz w:val="21"/>
                <w:szCs w:val="21"/>
                <w:highlight w:val="none"/>
                <w:lang w:val="en-US" w:eastAsia="zh-CN"/>
              </w:rPr>
              <w:t>公路水运工程质量检测管理信息系统</w:t>
            </w:r>
            <w:r>
              <w:rPr>
                <w:rFonts w:hint="eastAsia" w:ascii="宋体" w:hAnsi="宋体" w:eastAsia="宋体" w:cs="宋体"/>
                <w:sz w:val="21"/>
                <w:szCs w:val="21"/>
                <w:highlight w:val="none"/>
                <w:lang w:val="en-US" w:eastAsia="zh-CN"/>
              </w:rPr>
              <w:t>最新</w:t>
            </w:r>
            <w:r>
              <w:rPr>
                <w:rFonts w:hint="eastAsia" w:eastAsia="宋体" w:cs="宋体"/>
                <w:sz w:val="21"/>
                <w:szCs w:val="21"/>
                <w:highlight w:val="none"/>
                <w:lang w:val="en-US" w:eastAsia="zh-CN"/>
              </w:rPr>
              <w:t>发布的</w:t>
            </w:r>
            <w:r>
              <w:rPr>
                <w:rFonts w:hint="eastAsia" w:ascii="宋体" w:hAnsi="宋体" w:eastAsia="宋体" w:cs="宋体"/>
                <w:sz w:val="21"/>
                <w:szCs w:val="21"/>
                <w:highlight w:val="none"/>
              </w:rPr>
              <w:t>公路工程试验检测机构信用评价结果</w:t>
            </w:r>
            <w:r>
              <w:rPr>
                <w:rFonts w:hint="eastAsia" w:ascii="宋体" w:hAnsi="宋体" w:cs="宋体"/>
                <w:sz w:val="21"/>
                <w:szCs w:val="21"/>
                <w:highlight w:val="none"/>
              </w:rPr>
              <w:t>，未参与信用评价的从业单位均按B级信用对待。</w:t>
            </w:r>
          </w:p>
        </w:tc>
      </w:tr>
      <w:tr w14:paraId="247A3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6" w:hRule="atLeast"/>
        </w:trPr>
        <w:tc>
          <w:tcPr>
            <w:tcW w:w="8741" w:type="dxa"/>
            <w:gridSpan w:val="7"/>
            <w:noWrap w:val="0"/>
            <w:vAlign w:val="center"/>
          </w:tcPr>
          <w:p w14:paraId="5641C33B">
            <w:pPr>
              <w:keepNext w:val="0"/>
              <w:keepLines w:val="0"/>
              <w:pageBreakBefore w:val="0"/>
              <w:kinsoku/>
              <w:wordWrap/>
              <w:topLinePunct w:val="0"/>
              <w:autoSpaceDE w:val="0"/>
              <w:autoSpaceDN w:val="0"/>
              <w:bidi w:val="0"/>
              <w:adjustRightInd w:val="0"/>
              <w:snapToGrid/>
              <w:spacing w:line="320" w:lineRule="exact"/>
              <w:ind w:left="120" w:leftChars="50" w:right="120" w:rightChars="50" w:firstLine="0" w:firstLineChars="0"/>
              <w:contextualSpacing/>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需要补充的其他内容：</w:t>
            </w:r>
          </w:p>
          <w:p w14:paraId="7F762825">
            <w:pPr>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ind w:left="120" w:leftChars="50" w:right="120" w:rightChars="50" w:firstLine="420" w:firstLineChars="200"/>
              <w:contextualSpacing/>
              <w:jc w:val="both"/>
              <w:textAlignment w:val="auto"/>
              <w:rPr>
                <w:rFonts w:hint="eastAsia" w:eastAsia="微软雅黑"/>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招标人应根据项目具体情况确定各评分因素及评分因素权重分值，并对各评分因素进行细分（如有）、确定各评分因素细分项的分值，各评分因素权重分值合计应为100分。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tc>
      </w:tr>
    </w:tbl>
    <w:p w14:paraId="1A389B26">
      <w:pPr>
        <w:pageBreakBefore w:val="0"/>
        <w:wordWrap/>
        <w:overflowPunct/>
        <w:topLinePunct w:val="0"/>
        <w:bidi w:val="0"/>
        <w:spacing w:line="240" w:lineRule="auto"/>
        <w:jc w:val="left"/>
        <w:rPr>
          <w:rFonts w:hint="default"/>
          <w:color w:val="auto"/>
          <w:highlight w:val="none"/>
        </w:rPr>
      </w:pPr>
      <w:bookmarkStart w:id="1" w:name="bookmark72"/>
      <w:bookmarkEnd w:id="1"/>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72B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F4CD25">
                          <w:pPr>
                            <w:pStyle w:val="6"/>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EF4CD25">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687B7"/>
    <w:multiLevelType w:val="singleLevel"/>
    <w:tmpl w:val="FD6687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YzkwODM4NDY5MTQ0ODA2NGZhYTBmZGJmNjNkOTMifQ=="/>
  </w:docVars>
  <w:rsids>
    <w:rsidRoot w:val="557E1660"/>
    <w:rsid w:val="00FE0086"/>
    <w:rsid w:val="059041E1"/>
    <w:rsid w:val="106618D1"/>
    <w:rsid w:val="112F2A74"/>
    <w:rsid w:val="27E440EE"/>
    <w:rsid w:val="2C8868D9"/>
    <w:rsid w:val="3A8F71F9"/>
    <w:rsid w:val="3CFA2D1F"/>
    <w:rsid w:val="3F353E9E"/>
    <w:rsid w:val="42377429"/>
    <w:rsid w:val="4989732B"/>
    <w:rsid w:val="4D602609"/>
    <w:rsid w:val="4F6C05F9"/>
    <w:rsid w:val="554B412D"/>
    <w:rsid w:val="557E1660"/>
    <w:rsid w:val="59466E0D"/>
    <w:rsid w:val="60500D64"/>
    <w:rsid w:val="6CEE0D79"/>
    <w:rsid w:val="71541077"/>
    <w:rsid w:val="79E434D9"/>
    <w:rsid w:val="7BA1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unhideWhenUsed/>
    <w:qFormat/>
    <w:uiPriority w:val="1"/>
    <w:pPr>
      <w:autoSpaceDE w:val="0"/>
      <w:autoSpaceDN w:val="0"/>
      <w:adjustRightInd w:val="0"/>
      <w:spacing w:beforeLines="0" w:afterLines="0"/>
      <w:jc w:val="left"/>
      <w:outlineLvl w:val="2"/>
    </w:pPr>
    <w:rPr>
      <w:rFonts w:hint="eastAsia" w:ascii="黑体" w:hAnsi="黑体" w:eastAsia="黑体"/>
      <w:b/>
      <w:sz w:val="4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24"/>
      <w:szCs w:val="24"/>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autoSpaceDE w:val="0"/>
      <w:autoSpaceDN w:val="0"/>
      <w:adjustRightInd w:val="0"/>
      <w:snapToGrid w:val="0"/>
      <w:spacing w:beforeLines="0" w:afterLines="0"/>
      <w:jc w:val="left"/>
    </w:pPr>
    <w:rPr>
      <w:rFonts w:hint="default"/>
      <w:sz w:val="18"/>
      <w:szCs w:val="24"/>
    </w:rPr>
  </w:style>
  <w:style w:type="paragraph" w:styleId="7">
    <w:name w:val="header"/>
    <w:basedOn w:val="1"/>
    <w:unhideWhenUsed/>
    <w:qFormat/>
    <w:uiPriority w:val="0"/>
    <w:pPr>
      <w:pBdr>
        <w:bottom w:val="single" w:color="auto" w:sz="6" w:space="1"/>
      </w:pBdr>
      <w:tabs>
        <w:tab w:val="center" w:pos="4153"/>
        <w:tab w:val="right" w:pos="8306"/>
      </w:tabs>
      <w:autoSpaceDE w:val="0"/>
      <w:autoSpaceDN w:val="0"/>
      <w:adjustRightInd w:val="0"/>
      <w:snapToGrid w:val="0"/>
      <w:spacing w:beforeLines="0" w:afterLines="0"/>
      <w:jc w:val="center"/>
    </w:pPr>
    <w:rPr>
      <w:rFonts w:hint="default"/>
      <w:sz w:val="18"/>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2"/>
    <w:basedOn w:val="5"/>
    <w:qFormat/>
    <w:uiPriority w:val="0"/>
    <w:pPr>
      <w:ind w:firstLine="420"/>
    </w:pPr>
  </w:style>
  <w:style w:type="character" w:styleId="12">
    <w:name w:val="Hyperlink"/>
    <w:basedOn w:val="11"/>
    <w:qFormat/>
    <w:uiPriority w:val="0"/>
    <w:rPr>
      <w:color w:val="0000FF"/>
      <w:u w:val="single"/>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List Paragraph"/>
    <w:basedOn w:val="1"/>
    <w:qFormat/>
    <w:uiPriority w:val="1"/>
    <w:pPr>
      <w:spacing w:before="2"/>
      <w:ind w:left="1474" w:firstLine="480"/>
    </w:pPr>
    <w:rPr>
      <w:rFonts w:ascii="宋体" w:hAnsi="宋体" w:eastAsia="宋体" w:cs="宋体"/>
      <w:lang w:val="zh-CN" w:eastAsia="zh-CN" w:bidi="zh-CN"/>
    </w:rPr>
  </w:style>
  <w:style w:type="paragraph" w:customStyle="1" w:styleId="15">
    <w:name w:val="Table Text"/>
    <w:basedOn w:val="1"/>
    <w:semiHidden/>
    <w:qFormat/>
    <w:uiPriority w:val="0"/>
    <w:rPr>
      <w:rFonts w:ascii="宋体" w:hAnsi="宋体" w:eastAsia="宋体" w:cs="宋体"/>
      <w:sz w:val="21"/>
      <w:szCs w:val="21"/>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3238</Words>
  <Characters>3527</Characters>
  <Lines>0</Lines>
  <Paragraphs>0</Paragraphs>
  <TotalTime>2</TotalTime>
  <ScaleCrop>false</ScaleCrop>
  <LinksUpToDate>false</LinksUpToDate>
  <CharactersWithSpaces>3818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2022-06-15T03:58:00Z</dcterms:created>
  <dc:creator>WPS_1600825042</dc:creator>
  <cp:lastModifiedBy>WPS_1600825042</cp:lastModifiedBy>
  <dcterms:modified xsi:type="dcterms:W3CDTF">2024-06-19T00:54:42Z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D1FEC840081E48F8BF302EAB8022B9F6</vt:lpwstr>
  </property>
</Properties>
</file>