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8"/>
          <w:szCs w:val="3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8"/>
          <w:szCs w:val="38"/>
          <w:highlight w:val="none"/>
          <w:lang w:eastAsia="zh-CN"/>
        </w:rPr>
        <w:t>大广高速（K3042+926～K3130+000）日常小修保养工程施工招标关键内容公开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8"/>
          <w:szCs w:val="38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根据《公路工程建设项目招标投标管理办法》的规定，现对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大广</w:t>
      </w:r>
      <w:bookmarkStart w:id="2" w:name="_GoBack"/>
      <w:bookmarkEnd w:id="2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高速（K3042+926～K3130+000）日常小修保养工程施工招标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文件中的关键内容进行公开：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一、项目概况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大广高速（K3042+926～K3130+000）日常小修保养工程施工招标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二、投标人资格要求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详见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大广高速（K3042+926～K3130+000）日常小修保养工程施工招标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三、评标办法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本次招标采用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合理低价法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（详见附件）。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四、联系方式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-1"/>
          <w:sz w:val="24"/>
          <w:szCs w:val="24"/>
          <w:highlight w:val="none"/>
          <w:lang w:eastAsia="zh-CN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招标人：</w:t>
      </w:r>
      <w:r>
        <w:rPr>
          <w:rFonts w:hint="eastAsia"/>
          <w:color w:val="auto"/>
          <w:spacing w:val="-1"/>
          <w:sz w:val="24"/>
          <w:szCs w:val="24"/>
          <w:highlight w:val="none"/>
          <w:lang w:eastAsia="zh-CN"/>
        </w:rPr>
        <w:t xml:space="preserve">赣州高速公路有限责任公司  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20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地</w:t>
      </w:r>
      <w:r>
        <w:rPr>
          <w:rFonts w:hint="default"/>
          <w:color w:val="auto"/>
          <w:sz w:val="24"/>
          <w:szCs w:val="24"/>
          <w:highlight w:val="none"/>
        </w:rPr>
        <w:t xml:space="preserve">   址：江西省赣州市章贡区沙河镇赣州绕城高速赣州东出口</w:t>
      </w:r>
      <w:r>
        <w:rPr>
          <w:rFonts w:hint="default"/>
          <w:color w:val="auto"/>
          <w:spacing w:val="20"/>
          <w:sz w:val="24"/>
          <w:szCs w:val="24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邮</w:t>
      </w:r>
      <w:r>
        <w:rPr>
          <w:rFonts w:hint="default"/>
          <w:color w:val="auto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编：341000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联系人：</w:t>
      </w:r>
      <w:r>
        <w:rPr>
          <w:rFonts w:hint="eastAsia"/>
          <w:color w:val="auto"/>
          <w:spacing w:val="-1"/>
          <w:sz w:val="24"/>
          <w:szCs w:val="24"/>
          <w:highlight w:val="none"/>
          <w:lang w:eastAsia="zh-CN"/>
        </w:rPr>
        <w:t>杨先生</w:t>
      </w:r>
      <w:r>
        <w:rPr>
          <w:rFonts w:hint="default"/>
          <w:color w:val="auto"/>
          <w:sz w:val="24"/>
          <w:szCs w:val="24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20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电</w:t>
      </w:r>
      <w:r>
        <w:rPr>
          <w:rFonts w:hint="default"/>
          <w:color w:val="auto"/>
          <w:sz w:val="24"/>
          <w:szCs w:val="24"/>
          <w:highlight w:val="none"/>
        </w:rPr>
        <w:t xml:space="preserve">   话：0797-8289692</w:t>
      </w:r>
      <w:r>
        <w:rPr>
          <w:rFonts w:hint="default"/>
          <w:color w:val="auto"/>
          <w:spacing w:val="20"/>
          <w:sz w:val="24"/>
          <w:szCs w:val="24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传</w:t>
      </w:r>
      <w:r>
        <w:rPr>
          <w:rFonts w:hint="default"/>
          <w:color w:val="auto"/>
          <w:sz w:val="24"/>
          <w:szCs w:val="24"/>
          <w:highlight w:val="none"/>
        </w:rPr>
        <w:t xml:space="preserve">   真：0797-8289692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00" w:firstLineChars="200"/>
        <w:textAlignment w:val="auto"/>
        <w:rPr>
          <w:rFonts w:hint="default"/>
          <w:color w:val="auto"/>
          <w:sz w:val="20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default"/>
          <w:color w:val="auto"/>
          <w:sz w:val="24"/>
          <w:szCs w:val="24"/>
          <w:highlight w:val="none"/>
        </w:rPr>
        <w:t>招标代理机构：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江西省赣南公路勘察设计院有限公司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地</w:t>
      </w:r>
      <w:r>
        <w:rPr>
          <w:rFonts w:hint="default"/>
          <w:color w:val="auto"/>
          <w:sz w:val="24"/>
          <w:szCs w:val="24"/>
          <w:highlight w:val="none"/>
        </w:rPr>
        <w:t xml:space="preserve">        址：赣州市章江新区赞贤路</w:t>
      </w:r>
      <w:r>
        <w:rPr>
          <w:rFonts w:hint="default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36</w:t>
      </w:r>
      <w:r>
        <w:rPr>
          <w:rFonts w:hint="default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号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  <w:lang w:eastAsia="zh-CN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联</w:t>
      </w:r>
      <w:r>
        <w:rPr>
          <w:rFonts w:hint="default"/>
          <w:color w:val="auto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 xml:space="preserve">系 </w:t>
      </w: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/>
          <w:color w:val="auto"/>
          <w:sz w:val="24"/>
          <w:szCs w:val="24"/>
          <w:highlight w:val="none"/>
        </w:rPr>
        <w:t>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谢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工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20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电</w:t>
      </w:r>
      <w:r>
        <w:rPr>
          <w:rFonts w:hint="default"/>
          <w:color w:val="auto"/>
          <w:sz w:val="24"/>
          <w:szCs w:val="24"/>
          <w:highlight w:val="none"/>
        </w:rPr>
        <w:t xml:space="preserve">     </w:t>
      </w:r>
      <w:r>
        <w:rPr>
          <w:rFonts w:hint="default"/>
          <w:color w:val="auto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话： 0797-8088235</w:t>
      </w:r>
      <w:r>
        <w:rPr>
          <w:rFonts w:hint="default"/>
          <w:color w:val="auto"/>
          <w:spacing w:val="20"/>
          <w:sz w:val="24"/>
          <w:szCs w:val="24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-1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电子邮件：</w:t>
      </w:r>
      <w:r>
        <w:rPr>
          <w:rFonts w:hint="default"/>
          <w:color w:val="auto"/>
          <w:spacing w:val="-1"/>
          <w:sz w:val="24"/>
          <w:szCs w:val="24"/>
          <w:highlight w:val="none"/>
        </w:rPr>
        <w:fldChar w:fldCharType="begin"/>
      </w:r>
      <w:r>
        <w:rPr>
          <w:rFonts w:hint="default"/>
          <w:color w:val="auto"/>
          <w:spacing w:val="-1"/>
          <w:sz w:val="24"/>
          <w:szCs w:val="24"/>
          <w:highlight w:val="none"/>
        </w:rPr>
        <w:instrText xml:space="preserve"> HYPERLINK "mailto:gnglkcsjy@163.com" </w:instrText>
      </w:r>
      <w:r>
        <w:rPr>
          <w:rFonts w:hint="default"/>
          <w:color w:val="auto"/>
          <w:spacing w:val="-1"/>
          <w:sz w:val="24"/>
          <w:szCs w:val="24"/>
          <w:highlight w:val="none"/>
        </w:rPr>
        <w:fldChar w:fldCharType="separate"/>
      </w:r>
      <w:r>
        <w:rPr>
          <w:rFonts w:hint="default"/>
          <w:color w:val="auto"/>
          <w:spacing w:val="-1"/>
          <w:sz w:val="24"/>
          <w:szCs w:val="24"/>
          <w:highlight w:val="none"/>
        </w:rPr>
        <w:t>gnglkcsjy@163.com</w:t>
      </w:r>
      <w:r>
        <w:rPr>
          <w:rFonts w:hint="default"/>
          <w:color w:val="auto"/>
          <w:spacing w:val="-1"/>
          <w:sz w:val="24"/>
          <w:szCs w:val="24"/>
          <w:highlight w:val="none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</w:t>
      </w:r>
      <w:bookmarkStart w:id="0" w:name="_Toc909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评标办法</w:t>
      </w:r>
    </w:p>
    <w:bookmarkEnd w:id="0"/>
    <w:tbl>
      <w:tblPr>
        <w:tblStyle w:val="10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843"/>
        <w:gridCol w:w="776"/>
        <w:gridCol w:w="2000"/>
        <w:gridCol w:w="5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404" w:type="dxa"/>
            <w:gridSpan w:val="3"/>
            <w:noWrap w:val="0"/>
            <w:vAlign w:val="top"/>
          </w:tcPr>
          <w:p>
            <w:pPr>
              <w:pStyle w:val="13"/>
              <w:spacing w:before="130" w:line="250" w:lineRule="exact"/>
              <w:ind w:left="673" w:right="666"/>
              <w:jc w:val="center"/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</w:pPr>
            <w:bookmarkStart w:id="1" w:name="bookmark72"/>
            <w:bookmarkEnd w:id="1"/>
            <w:r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  <w:t>条款号</w:t>
            </w:r>
          </w:p>
        </w:tc>
        <w:tc>
          <w:tcPr>
            <w:tcW w:w="7075" w:type="dxa"/>
            <w:gridSpan w:val="2"/>
            <w:noWrap w:val="0"/>
            <w:vAlign w:val="top"/>
          </w:tcPr>
          <w:p>
            <w:pPr>
              <w:pStyle w:val="13"/>
              <w:spacing w:before="130" w:line="250" w:lineRule="exact"/>
              <w:ind w:left="2341" w:right="2329"/>
              <w:jc w:val="center"/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  <w:t>评审因素与评审标准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highlight w:val="none"/>
              </w:rPr>
              <w:t>1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highlight w:val="none"/>
              </w:rPr>
              <w:t>评标方法</w:t>
            </w:r>
          </w:p>
        </w:tc>
        <w:tc>
          <w:tcPr>
            <w:tcW w:w="7075" w:type="dxa"/>
            <w:gridSpan w:val="2"/>
            <w:noWrap w:val="0"/>
            <w:vAlign w:val="top"/>
          </w:tcPr>
          <w:p>
            <w:pPr>
              <w:pStyle w:val="13"/>
              <w:spacing w:before="89" w:line="276" w:lineRule="auto"/>
              <w:ind w:left="107" w:right="96" w:firstLine="420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highlight w:val="none"/>
              </w:rPr>
              <w:t>评标价相等时，评标委员会依次按照以下优先顺序推荐中标候选人或确定中标人：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left="30" w:leftChars="0" w:firstLine="21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评标价低的投标人优先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left="30" w:leftChars="0" w:firstLine="21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注册资金高者优先；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left="30" w:leftChars="0" w:firstLine="210" w:firstLineChars="0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抽签。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240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条款号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评审因素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2.1.1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2.1.3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︶</w:t>
            </w:r>
          </w:p>
        </w:tc>
        <w:tc>
          <w:tcPr>
            <w:tcW w:w="776" w:type="dxa"/>
            <w:vMerge w:val="restart"/>
            <w:noWrap w:val="0"/>
            <w:textDirection w:val="tbRlV"/>
            <w:vAlign w:val="center"/>
          </w:tcPr>
          <w:p>
            <w:pPr>
              <w:ind w:left="42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形式评审与响应性评审标准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投标</w:t>
            </w:r>
            <w:r>
              <w:rPr>
                <w:rFonts w:hint="eastAsia"/>
                <w:color w:val="auto"/>
                <w:sz w:val="21"/>
                <w:highlight w:val="none"/>
              </w:rPr>
              <w:t>函填写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  <w:t>投标函按招标文件规定填报了项目名称、补遗书编号（如有）、工期、工程质量要求及安全目标，投标函附录的所有数据均符合招标文件规定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文件</w:t>
            </w:r>
            <w:r>
              <w:rPr>
                <w:rFonts w:hint="eastAsia"/>
                <w:color w:val="auto"/>
                <w:sz w:val="21"/>
                <w:highlight w:val="none"/>
              </w:rPr>
              <w:t>填写及组成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  <w:t>投标文件组成齐全完整，内容均按规定填写。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文件</w:t>
            </w:r>
            <w:r>
              <w:rPr>
                <w:color w:val="auto"/>
                <w:sz w:val="21"/>
                <w:highlight w:val="none"/>
              </w:rPr>
              <w:t>签字盖章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符合第二章“投标人须知”第3.7.3项规定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投标保证金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符合第二章“投标人须知”第3.4.1项规定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投标文件备选方案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同一投标人同一标段未提交两个以上不同的投标文件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投标报价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未出现有关投标报价的内容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计划工期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 1.3.2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质量</w:t>
            </w:r>
            <w:r>
              <w:rPr>
                <w:rFonts w:hint="eastAsia"/>
                <w:color w:val="auto"/>
                <w:sz w:val="21"/>
                <w:highlight w:val="none"/>
              </w:rPr>
              <w:t>要求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 1.3.3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安全目标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 1.3.4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实质性响应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对招标文件的实质性要求和条件作出响应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权利义务符合招标文件规定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a.投标人应接受招标文件规定的风险划分原则，未提出新的风险划分办法；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b.投标人未增加委托人的责任范围，或减少投标人义务；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c.投标人未提出不同的支付办法；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d.投标人对合同纠纷、事故处理办法未提出异议；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e.投标人在投标活动中无欺诈行为；</w:t>
            </w:r>
          </w:p>
          <w:p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f.投标人未对合同条款有重要保留。</w:t>
            </w:r>
          </w:p>
        </w:tc>
      </w:tr>
    </w:tbl>
    <w:p>
      <w:pPr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br w:type="page"/>
      </w:r>
    </w:p>
    <w:tbl>
      <w:tblPr>
        <w:tblStyle w:val="10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95"/>
        <w:gridCol w:w="795"/>
        <w:gridCol w:w="2010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2.1.</w:t>
            </w:r>
            <w:r>
              <w:rPr>
                <w:rFonts w:hint="eastAsia"/>
                <w:color w:val="auto"/>
                <w:sz w:val="21"/>
                <w:highlight w:val="none"/>
              </w:rPr>
              <w:t>1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2.1.3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第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二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个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信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封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︵</w:t>
            </w:r>
          </w:p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报</w:t>
            </w:r>
          </w:p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价</w:t>
            </w:r>
          </w:p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文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件</w:t>
            </w:r>
          </w:p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︶</w:t>
            </w:r>
          </w:p>
        </w:tc>
        <w:tc>
          <w:tcPr>
            <w:tcW w:w="795" w:type="dxa"/>
            <w:vMerge w:val="restart"/>
            <w:noWrap w:val="0"/>
            <w:textDirection w:val="tbRlV"/>
            <w:vAlign w:val="center"/>
          </w:tcPr>
          <w:p>
            <w:pPr>
              <w:ind w:left="42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形式评审与响应性评审标准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投标</w:t>
            </w:r>
            <w:r>
              <w:rPr>
                <w:rFonts w:hint="eastAsia"/>
                <w:color w:val="auto"/>
                <w:sz w:val="21"/>
                <w:highlight w:val="none"/>
              </w:rPr>
              <w:t>函填写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按招标文件规定填报了项目名称、标段号、补遗书编号（如有）、投标报价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textDirection w:val="tbRlV"/>
            <w:vAlign w:val="center"/>
          </w:tcPr>
          <w:p>
            <w:pPr>
              <w:ind w:left="420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已标价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报价清单</w:t>
            </w:r>
            <w:r>
              <w:rPr>
                <w:rFonts w:hint="eastAsia"/>
                <w:color w:val="auto"/>
                <w:sz w:val="21"/>
                <w:highlight w:val="none"/>
              </w:rPr>
              <w:t>文字说明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已标价报价清单文字说明与招标文件规定一致，未进行修改或删除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文件</w:t>
            </w:r>
            <w:r>
              <w:rPr>
                <w:rFonts w:hint="eastAsia"/>
                <w:color w:val="auto"/>
                <w:sz w:val="21"/>
                <w:highlight w:val="none"/>
              </w:rPr>
              <w:t>填写及组成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组成齐全，没有缺项或缺页，内容均按招标文件规定填写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文件签字盖章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符合第二章“投标人须知”第3.7.3项规定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投标报价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未超过招标人公布的最高投标限价，大写金额能够确定具体数值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投标报价唯一性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同一投标人同一标段未提交两个以上不同的投标报价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ind w:left="420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工程量固化清单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投标人若填写工程量固化清单，填写完毕的工程量固化清单未对工程量固化清单电子文件中的数据、格式和运算定义进行修改；工程量固化清单中的投标报价和投标函大写金额报价一致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2.1.2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第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一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个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信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封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︵</w:t>
            </w:r>
          </w:p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商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务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及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技</w:t>
            </w:r>
          </w:p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术</w:t>
            </w:r>
          </w:p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文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件</w:t>
            </w:r>
          </w:p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︶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资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格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评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审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标</w:t>
            </w:r>
          </w:p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准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营业执照、资质证书和基本账户开户许可证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需具备有效的营业执照（或统一社会信用代码证书）、组织机构代码证、资质证书、安全生产许可证和基本账户开户许可证；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资质等级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 1.4.1 项“资质要求”的规定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财务状况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 1.4.1 项“财务要求”的规定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类似项目业绩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 1.4.1 项“业绩要求”的规定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信誉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 1.4.1 项“信誉要求”的规定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项目经理和项目总工资格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 1.4.1 项“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项目经理和项目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资格”的规定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其他要求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 1.4.1 项“其他要求”的规定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企业名称和资质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符合第二章“投标人须知”第1.4.5项“投标人名称和资质与名录中相应企业名称和资质完全一致”规定。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cs="宋体"/>
                <w:color w:val="auto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投标人不得存在的情形</w:t>
            </w:r>
          </w:p>
        </w:tc>
        <w:tc>
          <w:tcPr>
            <w:tcW w:w="4994" w:type="dxa"/>
            <w:noWrap w:val="0"/>
            <w:vAlign w:val="center"/>
          </w:tcPr>
          <w:p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投标人不得存在第二章“投标人须知”第1.4.3项或第1.4.4项规定的任何一种情形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br w:type="page"/>
      </w:r>
    </w:p>
    <w:tbl>
      <w:tblPr>
        <w:tblStyle w:val="10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220"/>
        <w:gridCol w:w="6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  <w:t>条款号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  <w:t>条款内容</w:t>
            </w:r>
          </w:p>
        </w:tc>
        <w:tc>
          <w:tcPr>
            <w:tcW w:w="6046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spacing w:before="6" w:after="72" w:afterLines="30"/>
              <w:ind w:left="0" w:leftChars="0" w:right="72" w:rightChars="30" w:firstLine="0" w:firstLineChars="0"/>
              <w:jc w:val="center"/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highlight w:val="none"/>
              </w:rPr>
              <w:t>编列内容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pStyle w:val="13"/>
              <w:tabs>
                <w:tab w:val="center" w:pos="995"/>
              </w:tabs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highlight w:val="none"/>
              </w:rPr>
              <w:t>2.2.1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cs="宋体"/>
                <w:color w:val="auto"/>
                <w:sz w:val="21"/>
                <w:highlight w:val="none"/>
              </w:rPr>
              <w:t>第一信封评分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</w:rPr>
              <w:t>分值构成（总分1</w:t>
            </w:r>
            <w:r>
              <w:rPr>
                <w:rFonts w:hint="eastAsia" w:cs="宋体"/>
                <w:color w:val="auto"/>
                <w:sz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</w:rPr>
              <w:t>0分）</w:t>
            </w:r>
          </w:p>
        </w:tc>
        <w:tc>
          <w:tcPr>
            <w:tcW w:w="6046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spacing w:before="6" w:after="72" w:afterLines="30"/>
              <w:ind w:left="72" w:leftChars="30" w:right="170"/>
              <w:jc w:val="both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bidi="zh-CN"/>
              </w:rPr>
              <w:t>评标价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bidi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  <w:t>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宋体" w:hAnsi="宋体" w:eastAsia="Arial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highlight w:val="none"/>
              </w:rPr>
              <w:t>2.2.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13"/>
              <w:adjustRightInd w:val="0"/>
              <w:ind w:left="0" w:leftChars="0" w:firstLine="0" w:firstLineChars="0"/>
              <w:jc w:val="center"/>
              <w:rPr>
                <w:rFonts w:hint="eastAsia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评标基准价计算方法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（随机系数法）</w:t>
            </w:r>
          </w:p>
        </w:tc>
        <w:tc>
          <w:tcPr>
            <w:tcW w:w="60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评标基准价的计算：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 w:firstLine="42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在开标现场，招标人将当场计算并宣布评标基准价。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＝投标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函文字报价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评标基准价计算时去掉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n1个最高评标价和n2个最低评标价。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当N&lt;6时，n1、n2均取0；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当N≧6时，去掉n1个最高评标价，去掉n2个最低评标价；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 w:firstLine="42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n1、n2在取值区间1～M中随机抽取（最小为1）；M=N/5，M向下取整。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 w:firstLine="42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其中N为第二信封（报价文件）现场开标有效的投标人数量，超过最高投标限价的投标人不参与计算。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 w:firstLine="42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根据上述规则去除n1个最高值和n2个最低值后，其余评标价参与评标基准价的计算，评标基准价保留两位小数，小数点后第三位“四舍五入”。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 w:firstLine="315" w:firstLineChars="1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评标基准价：随机权重法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 w:firstLine="315" w:firstLineChars="1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评标基准价P＝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×K+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×（1-K）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 w:firstLine="315" w:firstLineChars="1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——去掉n1个最高评标价后的最大值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 w:firstLine="315" w:firstLineChars="150"/>
              <w:textAlignment w:val="auto"/>
              <w:rPr>
                <w:rFonts w:hint="eastAsia" w:ascii="宋体" w:hAnsi="宋体" w:eastAsia="FZSSK--GBK1-0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——</w:t>
            </w:r>
            <w:r>
              <w:rPr>
                <w:rFonts w:hint="eastAsia" w:ascii="FZSSK--GBK1-0" w:hAnsi="FZSSK--GBK1-0" w:eastAsia="FZSSK--GBK1-0"/>
                <w:sz w:val="21"/>
              </w:rPr>
              <w:t>参与评标基准价计算的所有评标价的平均值</w:t>
            </w:r>
            <w:r>
              <w:rPr>
                <w:rFonts w:hint="eastAsia" w:ascii="FZSSK--GBK1-0" w:hAnsi="FZSSK--GBK1-0" w:eastAsia="FZSSK--GBK1-0"/>
                <w:sz w:val="21"/>
                <w:lang w:eastAsia="zh-CN"/>
              </w:rPr>
              <w:t>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 w:line="360" w:lineRule="auto"/>
              <w:ind w:left="72" w:leftChars="30" w:right="170" w:firstLine="315" w:firstLineChars="1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K——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权重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系数，由在第二信封（报价文件）开标现场随机抽取的X、Y两个系数构成，K=（X+Y/10）/10，其中X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有5个系数，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分别为0、1、2、3、4；Y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10个系数，分别为0、1、2、3、4、5、6、7、8、9。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0" w:afterLines="30"/>
              <w:ind w:left="72" w:leftChars="30" w:right="17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在评标过程中，评标委员会应对评标基准价进行复核，存在计算错误的应予以修正并在评标报告中作出说明。除此之外，评标基准价在整个评标期间保持不变，不随任何因素发生变化。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highlight w:val="none"/>
              </w:rPr>
              <w:t>2.2.3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13"/>
              <w:spacing w:line="321" w:lineRule="auto"/>
              <w:ind w:left="0" w:leftChars="0" w:right="115" w:rightChars="0" w:firstLine="0" w:firstLineChars="0"/>
              <w:jc w:val="center"/>
              <w:rPr>
                <w:rFonts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评标价的偏差率计算公式</w:t>
            </w:r>
          </w:p>
        </w:tc>
        <w:tc>
          <w:tcPr>
            <w:tcW w:w="6046" w:type="dxa"/>
            <w:noWrap w:val="0"/>
            <w:vAlign w:val="center"/>
          </w:tcPr>
          <w:p>
            <w:pPr>
              <w:pStyle w:val="13"/>
              <w:spacing w:before="89" w:line="321" w:lineRule="auto"/>
              <w:ind w:left="108" w:leftChars="0" w:right="95" w:rightChars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偏差率=100% ×（投标人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价－评标基准价）/评标基准价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，偏差率保留小数点后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位，小数点后第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位“四舍五入”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2.2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13"/>
              <w:spacing w:before="172"/>
              <w:ind w:left="0" w:leftChars="0" w:right="306" w:rightChars="0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评标价</w:t>
            </w:r>
          </w:p>
        </w:tc>
        <w:tc>
          <w:tcPr>
            <w:tcW w:w="6046" w:type="dxa"/>
            <w:noWrap w:val="0"/>
            <w:vAlign w:val="top"/>
          </w:tcPr>
          <w:p>
            <w:pPr>
              <w:pStyle w:val="13"/>
              <w:spacing w:before="90"/>
              <w:ind w:left="108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投标人投标报价得分的计算：</w:t>
            </w:r>
          </w:p>
          <w:p>
            <w:pPr>
              <w:pStyle w:val="13"/>
              <w:spacing w:before="91" w:line="321" w:lineRule="auto"/>
              <w:ind w:left="108" w:right="94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（1）如果投标人的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价&gt;评标基准价，则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得分＝100－偏差率×100×E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；</w:t>
            </w:r>
          </w:p>
          <w:p>
            <w:pPr>
              <w:pStyle w:val="13"/>
              <w:spacing w:line="321" w:lineRule="auto"/>
              <w:ind w:left="108" w:right="94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（2）如果投标人的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≤评标基准价，则评标价得分＝100＋偏差率×100×E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。</w:t>
            </w:r>
          </w:p>
          <w:p>
            <w:pPr>
              <w:pStyle w:val="13"/>
              <w:spacing w:line="321" w:lineRule="auto"/>
              <w:ind w:left="108" w:right="94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E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u w:val="single"/>
                <w:lang w:val="en-US" w:eastAsia="zh-CN"/>
              </w:rPr>
              <w:t xml:space="preserve"> 1.5 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E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u w:val="single"/>
                <w:lang w:val="en-US" w:eastAsia="zh-CN"/>
              </w:rPr>
              <w:t>1</w:t>
            </w:r>
          </w:p>
          <w:p>
            <w:pPr>
              <w:pStyle w:val="13"/>
              <w:spacing w:line="321" w:lineRule="auto"/>
              <w:ind w:left="108" w:right="93"/>
              <w:jc w:val="both"/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其中：E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每高于评标基准价一个百分点的扣分值，E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 是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价每低于评标基准价一个百分点的扣分值。</w:t>
            </w:r>
          </w:p>
          <w:p>
            <w:pPr>
              <w:pStyle w:val="13"/>
              <w:spacing w:line="321" w:lineRule="auto"/>
              <w:ind w:left="108" w:leftChars="0" w:right="93" w:rightChars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所有评分分值计算保留小数点后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位，小数点后第</w:t>
            </w:r>
            <w:r>
              <w:rPr>
                <w:rFonts w:hint="eastAsia" w:eastAsia="宋体" w:cs="宋体"/>
                <w:color w:val="auto"/>
                <w:sz w:val="21"/>
                <w:highlight w:val="none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位“四舍五入”</w:t>
            </w:r>
          </w:p>
        </w:tc>
      </w:tr>
    </w:tbl>
    <w:p>
      <w:pPr>
        <w:pageBreakBefore w:val="0"/>
        <w:wordWrap/>
        <w:overflowPunct/>
        <w:topLinePunct w:val="0"/>
        <w:bidi w:val="0"/>
        <w:spacing w:line="240" w:lineRule="auto"/>
        <w:ind w:left="0" w:leftChars="0" w:firstLine="0" w:firstLineChars="0"/>
        <w:jc w:val="left"/>
        <w:rPr>
          <w:rFonts w:hint="default"/>
          <w:color w:val="auto"/>
          <w:highlight w:val="none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76FE6"/>
    <w:multiLevelType w:val="singleLevel"/>
    <w:tmpl w:val="19376FE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036A8B1"/>
    <w:multiLevelType w:val="singleLevel"/>
    <w:tmpl w:val="2036A8B1"/>
    <w:lvl w:ilvl="0" w:tentative="0">
      <w:start w:val="1"/>
      <w:numFmt w:val="decimal"/>
      <w:suff w:val="nothing"/>
      <w:lvlText w:val="（%1）"/>
      <w:lvlJc w:val="left"/>
      <w:pPr>
        <w:ind w:left="3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2UyNmY0ZGRjMzE3NzRkMDI4ZTAyZGE4ZjkzNDUifQ=="/>
    <w:docVar w:name="KSO_WPS_MARK_KEY" w:val="aef1de3c-d590-4931-9dc1-0ee24162ab72"/>
  </w:docVars>
  <w:rsids>
    <w:rsidRoot w:val="557E1660"/>
    <w:rsid w:val="00FE0086"/>
    <w:rsid w:val="059041E1"/>
    <w:rsid w:val="106618D1"/>
    <w:rsid w:val="112F2A74"/>
    <w:rsid w:val="27E440EE"/>
    <w:rsid w:val="2C8868D9"/>
    <w:rsid w:val="3A8F71F9"/>
    <w:rsid w:val="3CFA2D1F"/>
    <w:rsid w:val="3F353E9E"/>
    <w:rsid w:val="42377429"/>
    <w:rsid w:val="42637DC8"/>
    <w:rsid w:val="4989732B"/>
    <w:rsid w:val="4D602609"/>
    <w:rsid w:val="4F6C05F9"/>
    <w:rsid w:val="554B412D"/>
    <w:rsid w:val="557E1660"/>
    <w:rsid w:val="59466E0D"/>
    <w:rsid w:val="60500D64"/>
    <w:rsid w:val="6CEE0D79"/>
    <w:rsid w:val="71541077"/>
    <w:rsid w:val="79E434D9"/>
    <w:rsid w:val="7ACA1375"/>
    <w:rsid w:val="7BA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1"/>
    <w:next w:val="1"/>
    <w:unhideWhenUsed/>
    <w:qFormat/>
    <w:uiPriority w:val="1"/>
    <w:pPr>
      <w:autoSpaceDE w:val="0"/>
      <w:autoSpaceDN w:val="0"/>
      <w:adjustRightInd w:val="0"/>
      <w:spacing w:beforeLines="0" w:afterLines="0"/>
      <w:jc w:val="left"/>
      <w:outlineLvl w:val="2"/>
    </w:pPr>
    <w:rPr>
      <w:rFonts w:hint="eastAsia" w:ascii="黑体" w:hAnsi="黑体" w:eastAsia="黑体"/>
      <w:b/>
      <w:sz w:val="4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4"/>
      <w:szCs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List Paragraph"/>
    <w:basedOn w:val="1"/>
    <w:qFormat/>
    <w:uiPriority w:val="1"/>
    <w:pPr>
      <w:spacing w:before="2"/>
      <w:ind w:left="1474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2298</Words>
  <Characters>2576</Characters>
  <Lines>0</Lines>
  <Paragraphs>0</Paragraphs>
  <TotalTime>1</TotalTime>
  <ScaleCrop>false</ScaleCrop>
  <LinksUpToDate>false</LinksUpToDate>
  <CharactersWithSpaces>2638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2022-06-15T03:58:00Z</dcterms:created>
  <dc:creator>WPS_1600825042</dc:creator>
  <cp:lastModifiedBy>Administrator</cp:lastModifiedBy>
  <cp:lastPrinted>2024-06-19T02:57:25Z</cp:lastPrinted>
  <dcterms:modified xsi:type="dcterms:W3CDTF">2024-06-19T07:27:54Z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D1FEC840081E48F8BF302EAB8022B9F6</vt:lpwstr>
  </property>
</Properties>
</file>