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cs="宋体"/>
          <w:b/>
          <w:bCs/>
          <w:sz w:val="38"/>
          <w:szCs w:val="3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8"/>
          <w:szCs w:val="38"/>
          <w:highlight w:val="none"/>
          <w:lang w:eastAsia="zh-CN"/>
        </w:rPr>
        <w:t>赣州高速2023年新建、改造污水处理设施项目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sz w:val="38"/>
          <w:szCs w:val="3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8"/>
          <w:szCs w:val="38"/>
          <w:highlight w:val="none"/>
        </w:rPr>
        <w:t>施工招标</w:t>
      </w:r>
      <w:r>
        <w:rPr>
          <w:rFonts w:hint="eastAsia" w:ascii="宋体" w:hAnsi="宋体" w:eastAsia="宋体" w:cs="宋体"/>
          <w:b/>
          <w:bCs/>
          <w:sz w:val="38"/>
          <w:szCs w:val="38"/>
          <w:highlight w:val="none"/>
          <w:lang w:eastAsia="zh-CN"/>
        </w:rPr>
        <w:t>关键内容公开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根据《公路工程建设项目招标投标管理办法》的规定，现对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赣州高速2023年新建、改造污水处理设施项目施工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文件中的关键内容进行公开：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赣州高速2023年新建、改造污水处理设施项目施工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二、投标人资格要求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赣州高速2023年新建、改造污水处理设施项目施工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三、评标办法</w:t>
      </w:r>
      <w:bookmarkStart w:id="1" w:name="_GoBack"/>
      <w:bookmarkEnd w:id="1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本次招标采用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合理低价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（详见附件）。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四、联系方式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pacing w:val="-1"/>
          <w:sz w:val="24"/>
          <w:szCs w:val="24"/>
          <w:highlight w:val="none"/>
          <w:lang w:eastAsia="zh-CN"/>
        </w:rPr>
      </w:pPr>
      <w:r>
        <w:rPr>
          <w:rFonts w:hint="default"/>
          <w:spacing w:val="-1"/>
          <w:sz w:val="24"/>
          <w:szCs w:val="24"/>
          <w:highlight w:val="none"/>
        </w:rPr>
        <w:t>招标人：</w:t>
      </w:r>
      <w:r>
        <w:rPr>
          <w:rFonts w:hint="eastAsia"/>
          <w:spacing w:val="-1"/>
          <w:sz w:val="24"/>
          <w:szCs w:val="24"/>
          <w:highlight w:val="none"/>
          <w:lang w:eastAsia="zh-CN"/>
        </w:rPr>
        <w:t>赣州高速公路有限责任公司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pacing w:val="20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地</w:t>
      </w:r>
      <w:r>
        <w:rPr>
          <w:rFonts w:hint="default"/>
          <w:sz w:val="24"/>
          <w:szCs w:val="24"/>
          <w:highlight w:val="none"/>
        </w:rPr>
        <w:t xml:space="preserve">   址：江西省赣州市章贡区沙河镇赣州绕城高速赣州东出口</w:t>
      </w:r>
      <w:r>
        <w:rPr>
          <w:rFonts w:hint="default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邮</w:t>
      </w:r>
      <w:r>
        <w:rPr>
          <w:rFonts w:hint="default"/>
          <w:sz w:val="24"/>
          <w:szCs w:val="24"/>
          <w:highlight w:val="none"/>
        </w:rPr>
        <w:t xml:space="preserve"> </w:t>
      </w:r>
      <w:r>
        <w:rPr>
          <w:rFonts w:hint="default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>编：341000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联系人：</w:t>
      </w:r>
      <w:r>
        <w:rPr>
          <w:rFonts w:hint="eastAsia"/>
          <w:spacing w:val="-1"/>
          <w:sz w:val="24"/>
          <w:szCs w:val="24"/>
          <w:highlight w:val="none"/>
          <w:lang w:eastAsia="zh-CN"/>
        </w:rPr>
        <w:t>张</w:t>
      </w:r>
      <w:r>
        <w:rPr>
          <w:rFonts w:hint="default"/>
          <w:spacing w:val="-1"/>
          <w:sz w:val="24"/>
          <w:szCs w:val="24"/>
          <w:highlight w:val="none"/>
        </w:rPr>
        <w:t>女士</w:t>
      </w:r>
      <w:r>
        <w:rPr>
          <w:rFonts w:hint="default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pacing w:val="20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电</w:t>
      </w:r>
      <w:r>
        <w:rPr>
          <w:rFonts w:hint="default"/>
          <w:sz w:val="24"/>
          <w:szCs w:val="24"/>
          <w:highlight w:val="none"/>
        </w:rPr>
        <w:t xml:space="preserve">   话：0797-8289692</w:t>
      </w:r>
      <w:r>
        <w:rPr>
          <w:rFonts w:hint="default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传</w:t>
      </w:r>
      <w:r>
        <w:rPr>
          <w:rFonts w:hint="default"/>
          <w:sz w:val="24"/>
          <w:szCs w:val="24"/>
          <w:highlight w:val="none"/>
        </w:rPr>
        <w:t xml:space="preserve">   真：0797-8289692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sz w:val="20"/>
          <w:szCs w:val="24"/>
          <w:highlight w:val="none"/>
        </w:rPr>
      </w:pPr>
    </w:p>
    <w:p>
      <w:pPr>
        <w:pStyle w:val="4"/>
        <w:kinsoku w:val="0"/>
        <w:overflowPunct w:val="0"/>
        <w:spacing w:beforeLines="0" w:afterLines="0" w:line="360" w:lineRule="auto"/>
        <w:ind w:left="0" w:firstLine="480" w:firstLineChars="200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default"/>
          <w:sz w:val="24"/>
          <w:szCs w:val="24"/>
          <w:highlight w:val="none"/>
        </w:rPr>
        <w:t>招标代理机构：</w:t>
      </w:r>
      <w:r>
        <w:rPr>
          <w:rFonts w:hint="eastAsia"/>
          <w:sz w:val="24"/>
          <w:szCs w:val="24"/>
          <w:highlight w:val="none"/>
          <w:lang w:eastAsia="zh-CN"/>
        </w:rPr>
        <w:t>江西省赣南公路勘察设计院有限公司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地</w:t>
      </w:r>
      <w:r>
        <w:rPr>
          <w:rFonts w:hint="default"/>
          <w:sz w:val="24"/>
          <w:szCs w:val="24"/>
          <w:highlight w:val="none"/>
        </w:rPr>
        <w:t xml:space="preserve">        址：赣州市章江新区赞贤路</w:t>
      </w:r>
      <w:r>
        <w:rPr>
          <w:rFonts w:hint="default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>36</w:t>
      </w:r>
      <w:r>
        <w:rPr>
          <w:rFonts w:hint="default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>号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z w:val="24"/>
          <w:szCs w:val="24"/>
          <w:highlight w:val="none"/>
          <w:lang w:eastAsia="zh-CN"/>
        </w:rPr>
      </w:pPr>
      <w:r>
        <w:rPr>
          <w:rFonts w:hint="default"/>
          <w:spacing w:val="-1"/>
          <w:sz w:val="24"/>
          <w:szCs w:val="24"/>
          <w:highlight w:val="none"/>
        </w:rPr>
        <w:t>联</w:t>
      </w:r>
      <w:r>
        <w:rPr>
          <w:rFonts w:hint="default"/>
          <w:sz w:val="24"/>
          <w:szCs w:val="24"/>
          <w:highlight w:val="none"/>
        </w:rPr>
        <w:t xml:space="preserve"> </w:t>
      </w:r>
      <w:r>
        <w:rPr>
          <w:rFonts w:hint="default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 xml:space="preserve">系 </w:t>
      </w:r>
      <w:r>
        <w:rPr>
          <w:rFonts w:hint="default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/>
          <w:sz w:val="24"/>
          <w:szCs w:val="24"/>
          <w:highlight w:val="none"/>
        </w:rPr>
        <w:t>人：</w:t>
      </w:r>
      <w:r>
        <w:rPr>
          <w:rFonts w:hint="default"/>
          <w:sz w:val="24"/>
          <w:szCs w:val="24"/>
          <w:highlight w:val="none"/>
          <w:lang w:eastAsia="zh-CN"/>
        </w:rPr>
        <w:t>赖工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pacing w:val="20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电</w:t>
      </w:r>
      <w:r>
        <w:rPr>
          <w:rFonts w:hint="default"/>
          <w:sz w:val="24"/>
          <w:szCs w:val="24"/>
          <w:highlight w:val="none"/>
        </w:rPr>
        <w:t xml:space="preserve">     </w:t>
      </w:r>
      <w:r>
        <w:rPr>
          <w:rFonts w:hint="default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>话： 0797-8088235</w:t>
      </w:r>
      <w:r>
        <w:rPr>
          <w:rFonts w:hint="default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spacing w:val="-1"/>
          <w:sz w:val="24"/>
          <w:szCs w:val="24"/>
          <w:highlight w:val="none"/>
        </w:rPr>
      </w:pPr>
      <w:r>
        <w:rPr>
          <w:rFonts w:hint="default"/>
          <w:spacing w:val="-1"/>
          <w:sz w:val="24"/>
          <w:szCs w:val="24"/>
          <w:highlight w:val="none"/>
        </w:rPr>
        <w:t>电子邮件：</w:t>
      </w:r>
      <w:r>
        <w:rPr>
          <w:rFonts w:hint="default"/>
          <w:spacing w:val="-1"/>
          <w:sz w:val="24"/>
          <w:szCs w:val="24"/>
          <w:highlight w:val="none"/>
        </w:rPr>
        <w:fldChar w:fldCharType="begin"/>
      </w:r>
      <w:r>
        <w:rPr>
          <w:rFonts w:hint="default"/>
          <w:spacing w:val="-1"/>
          <w:sz w:val="24"/>
          <w:szCs w:val="24"/>
          <w:highlight w:val="none"/>
        </w:rPr>
        <w:instrText xml:space="preserve"> HYPERLINK "mailto:gnglkcsjy@163.com" </w:instrText>
      </w:r>
      <w:r>
        <w:rPr>
          <w:rFonts w:hint="default"/>
          <w:spacing w:val="-1"/>
          <w:sz w:val="24"/>
          <w:szCs w:val="24"/>
          <w:highlight w:val="none"/>
        </w:rPr>
        <w:fldChar w:fldCharType="separate"/>
      </w:r>
      <w:r>
        <w:rPr>
          <w:rFonts w:hint="default"/>
          <w:spacing w:val="-1"/>
          <w:sz w:val="24"/>
          <w:szCs w:val="24"/>
          <w:highlight w:val="none"/>
        </w:rPr>
        <w:t>gnglkcsjy@163.com</w:t>
      </w:r>
      <w:r>
        <w:rPr>
          <w:rFonts w:hint="default"/>
          <w:spacing w:val="-1"/>
          <w:sz w:val="24"/>
          <w:szCs w:val="24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Toc909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评标办法</w:t>
      </w:r>
    </w:p>
    <w:tbl>
      <w:tblPr>
        <w:tblStyle w:val="10"/>
        <w:tblW w:w="9350" w:type="dxa"/>
        <w:tblInd w:w="-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968"/>
        <w:gridCol w:w="776"/>
        <w:gridCol w:w="2000"/>
        <w:gridCol w:w="4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pStyle w:val="13"/>
              <w:spacing w:before="130" w:line="250" w:lineRule="exact"/>
              <w:ind w:left="673" w:right="66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条款号</w:t>
            </w:r>
          </w:p>
        </w:tc>
        <w:tc>
          <w:tcPr>
            <w:tcW w:w="6656" w:type="dxa"/>
            <w:gridSpan w:val="2"/>
            <w:noWrap w:val="0"/>
            <w:vAlign w:val="top"/>
          </w:tcPr>
          <w:p>
            <w:pPr>
              <w:pStyle w:val="13"/>
              <w:spacing w:before="130" w:line="250" w:lineRule="exact"/>
              <w:ind w:right="2329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cs="宋体"/>
                <w:b/>
                <w:color w:val="auto"/>
                <w:sz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评审因素与评审标准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50" w:type="dxa"/>
            <w:noWrap w:val="0"/>
            <w:vAlign w:val="top"/>
          </w:tcPr>
          <w:p>
            <w:pPr>
              <w:pStyle w:val="13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  <w:p>
            <w:pPr>
              <w:pStyle w:val="13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  <w:p>
            <w:pPr>
              <w:pStyle w:val="13"/>
              <w:spacing w:before="187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1744" w:type="dxa"/>
            <w:gridSpan w:val="2"/>
            <w:noWrap w:val="0"/>
            <w:vAlign w:val="top"/>
          </w:tcPr>
          <w:p>
            <w:pPr>
              <w:pStyle w:val="13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  <w:p>
            <w:pPr>
              <w:pStyle w:val="13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  <w:p>
            <w:pPr>
              <w:pStyle w:val="13"/>
              <w:spacing w:before="10"/>
              <w:rPr>
                <w:rFonts w:hint="eastAsia" w:ascii="宋体" w:hAnsi="宋体" w:eastAsia="宋体" w:cs="宋体"/>
                <w:b/>
                <w:color w:val="auto"/>
                <w:sz w:val="18"/>
                <w:highlight w:val="none"/>
              </w:rPr>
            </w:pPr>
          </w:p>
          <w:p>
            <w:pPr>
              <w:pStyle w:val="13"/>
              <w:ind w:left="141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评标方法</w:t>
            </w:r>
          </w:p>
        </w:tc>
        <w:tc>
          <w:tcPr>
            <w:tcW w:w="6656" w:type="dxa"/>
            <w:gridSpan w:val="2"/>
            <w:noWrap w:val="0"/>
            <w:vAlign w:val="top"/>
          </w:tcPr>
          <w:p>
            <w:pPr>
              <w:pStyle w:val="13"/>
              <w:spacing w:before="89" w:line="276" w:lineRule="auto"/>
              <w:ind w:left="107" w:right="96" w:firstLine="420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综合评分相等时，评标委员会依次按照以下优先顺序推荐中标候选人或确定中标人：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评标价低的投标人优先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注册资金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高者优先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条款号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评审因素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2.1.1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2.1.3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一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商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及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技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术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776" w:type="dxa"/>
            <w:vMerge w:val="restart"/>
            <w:noWrap w:val="0"/>
            <w:textDirection w:val="tbRlV"/>
            <w:vAlign w:val="center"/>
          </w:tcPr>
          <w:p>
            <w:pPr>
              <w:ind w:left="42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形式评审与响应性评审标准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投标</w:t>
            </w:r>
            <w:r>
              <w:rPr>
                <w:rFonts w:hint="eastAsia"/>
                <w:sz w:val="21"/>
                <w:highlight w:val="none"/>
              </w:rPr>
              <w:t>函填写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  <w:t>投标函按招标文件规定填报了项目名称、补遗书编号（如有）、工期、工程质量要求及安全目标，投标函附录的所有数据均符合招标文件规定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文件</w:t>
            </w:r>
            <w:r>
              <w:rPr>
                <w:rFonts w:hint="eastAsia"/>
                <w:sz w:val="21"/>
                <w:highlight w:val="none"/>
              </w:rPr>
              <w:t>填写及组成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  <w:t>投标文件组成齐全完整，内容均按规定填写。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文件</w:t>
            </w:r>
            <w:r>
              <w:rPr>
                <w:sz w:val="21"/>
                <w:highlight w:val="none"/>
              </w:rPr>
              <w:t>签字盖章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投标保证金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符合第二章“投标人须知”第3.4.1项规定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投标文件备选方案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同一投标人同一标段未提交两个以上不同的投标文件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未出现有关投标报价的内容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计划工期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1.3.2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质量</w:t>
            </w:r>
            <w:r>
              <w:rPr>
                <w:rFonts w:hint="eastAsia"/>
                <w:sz w:val="21"/>
                <w:highlight w:val="none"/>
              </w:rPr>
              <w:t>要求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1.3.3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安全目标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1.3.4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实质性响应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对招标文件的实质性要求和条件作出响应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权利义务符合招标文件规定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a.投标人应接受招标文件规定的风险划分原则，未提出新的风险划分办法；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b.投标人未增加委托人的责任范围，或减少投标人义务；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c.投标人未提出不同的支付办法；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d.投标人对合同纠纷、事故处理办法未提出异议；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e.投标人在投标活动中无欺诈行为；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f.投标人未对合同条款有重要保留。</w:t>
            </w:r>
          </w:p>
        </w:tc>
      </w:tr>
    </w:tbl>
    <w:p>
      <w:pPr>
        <w:jc w:val="center"/>
        <w:rPr>
          <w:sz w:val="21"/>
          <w:highlight w:val="none"/>
        </w:rPr>
      </w:pPr>
      <w:r>
        <w:rPr>
          <w:sz w:val="21"/>
          <w:highlight w:val="none"/>
        </w:rPr>
        <w:br w:type="page"/>
      </w:r>
    </w:p>
    <w:tbl>
      <w:tblPr>
        <w:tblStyle w:val="10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38"/>
        <w:gridCol w:w="798"/>
        <w:gridCol w:w="1992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2.1.</w:t>
            </w:r>
            <w:r>
              <w:rPr>
                <w:rFonts w:hint="eastAsia"/>
                <w:sz w:val="21"/>
                <w:highlight w:val="none"/>
              </w:rPr>
              <w:t>1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2.1.3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二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报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价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798" w:type="dxa"/>
            <w:vMerge w:val="restart"/>
            <w:noWrap w:val="0"/>
            <w:textDirection w:val="tbRlV"/>
            <w:vAlign w:val="center"/>
          </w:tcPr>
          <w:p>
            <w:pPr>
              <w:ind w:left="42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形式评审与响应性评审标准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投标</w:t>
            </w:r>
            <w:r>
              <w:rPr>
                <w:rFonts w:hint="eastAsia"/>
                <w:sz w:val="21"/>
                <w:highlight w:val="none"/>
              </w:rPr>
              <w:t>函填写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按招标文件规定填报了项目名称、标段号、补遗书编号（如有）、投标报价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textDirection w:val="tbRlV"/>
            <w:vAlign w:val="center"/>
          </w:tcPr>
          <w:p>
            <w:pPr>
              <w:ind w:left="420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已标价</w:t>
            </w:r>
            <w:r>
              <w:rPr>
                <w:rFonts w:hint="eastAsia"/>
                <w:sz w:val="21"/>
                <w:szCs w:val="21"/>
                <w:highlight w:val="none"/>
              </w:rPr>
              <w:t>报价清单</w:t>
            </w:r>
            <w:r>
              <w:rPr>
                <w:rFonts w:hint="eastAsia"/>
                <w:sz w:val="21"/>
                <w:highlight w:val="none"/>
              </w:rPr>
              <w:t>文字说明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已标价报价清单文字说明与招标文件规定一致，未进行修改或删除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文件</w:t>
            </w:r>
            <w:r>
              <w:rPr>
                <w:rFonts w:hint="eastAsia"/>
                <w:sz w:val="21"/>
                <w:highlight w:val="none"/>
              </w:rPr>
              <w:t>填写及组成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组成齐全，没有缺项或缺页，内容均按招标文件规定填写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文件签字盖章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未超过招标人公布的最高投标限价，大写金额能够确定具体数值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且每个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服务区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未超过其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服务区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的投标控制价上限。每个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服务区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的投标报价之和应与投标函中的投标报价相同。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投标报价唯一性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同一投标人同一标段未提交两个以上不同的投标报价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工程量固化清单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投标人若填写工程量固化清单，填写完毕的工程量固化清单未对工程量固化清单电子文件中的数据、格式和运算定义进行修改；工程量固化清单中的投标报价和投标函大写金额报价一致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2.1.2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一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商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及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技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术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>
            <w:pPr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资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格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审</w:t>
            </w:r>
          </w:p>
          <w:p>
            <w:pPr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标</w:t>
            </w:r>
          </w:p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营业执照、资质证书和基本账户开户许可证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需具备有效的营业执照（或统一社会信用代码证书）、组织机构代码证、资质证书、安全生产许可证和基本账户开户许可证；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资质等级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项“资质要求”的规定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财务状况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项“财务要求”的规定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类似项目业绩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项“业绩要求”的规定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信誉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项“信誉要求”的规定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项目经理和项目总工资格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</w:t>
            </w:r>
            <w:r>
              <w:rPr>
                <w:rFonts w:hint="eastAsia"/>
                <w:sz w:val="21"/>
                <w:szCs w:val="21"/>
                <w:highlight w:val="none"/>
              </w:rPr>
              <w:t>项目经理和项目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总工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资格”的规定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其他要求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项“其他要求”的规定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企业名称和资质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符合第二章“投标人须知”第1.4.5项“投标人名称和资质与名录中相应企业名称和资质完全一致”规定。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/>
                <w:sz w:val="21"/>
                <w:highlight w:val="none"/>
              </w:rPr>
              <w:t>投标人不得存在的情形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投标人不得存在第二章“投标人须知”第1.4.3项或第1.4.4项规定的任何一种情形</w:t>
            </w:r>
          </w:p>
        </w:tc>
      </w:tr>
    </w:tbl>
    <w:p/>
    <w:tbl>
      <w:tblPr>
        <w:tblStyle w:val="10"/>
        <w:tblW w:w="9450" w:type="dxa"/>
        <w:tblInd w:w="-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013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spacing w:before="89" w:line="250" w:lineRule="exact"/>
              <w:ind w:left="0" w:leftChars="0" w:right="669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条款号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spacing w:before="89" w:line="25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条款内容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before="89" w:line="250" w:lineRule="exact"/>
              <w:ind w:right="209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tabs>
                <w:tab w:val="center" w:pos="995"/>
              </w:tabs>
              <w:spacing w:before="194"/>
              <w:ind w:left="0" w:leftChars="0" w:right="66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2.2.1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spacing w:before="92"/>
              <w:ind w:left="210" w:right="199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分值构成（总分 10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分）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before="170"/>
              <w:ind w:left="10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评标价：100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6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spacing w:before="11"/>
              <w:jc w:val="center"/>
              <w:rPr>
                <w:rFonts w:hint="eastAsia" w:ascii="宋体" w:hAnsi="宋体" w:eastAsia="宋体" w:cs="宋体"/>
                <w:color w:val="auto"/>
                <w:sz w:val="29"/>
                <w:highlight w:val="none"/>
              </w:rPr>
            </w:pPr>
          </w:p>
          <w:p>
            <w:pPr>
              <w:pStyle w:val="13"/>
              <w:spacing w:before="1"/>
              <w:ind w:left="0" w:leftChars="0" w:right="66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2.2.2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spacing w:before="128" w:line="321" w:lineRule="auto"/>
              <w:ind w:left="0" w:leftChars="0" w:right="11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评标基准价计算方法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（随机系数法）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before="95" w:line="360" w:lineRule="auto"/>
              <w:ind w:left="10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评标基准价的计算：</w:t>
            </w:r>
          </w:p>
          <w:p>
            <w:pPr>
              <w:pStyle w:val="13"/>
              <w:spacing w:before="91" w:line="360" w:lineRule="auto"/>
              <w:ind w:left="108" w:right="98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在开标现场，招标人将当场计算并宣布评标基准价。</w:t>
            </w:r>
          </w:p>
          <w:p>
            <w:pPr>
              <w:pStyle w:val="13"/>
              <w:spacing w:before="91" w:line="360" w:lineRule="auto"/>
              <w:ind w:left="52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＝投标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函文字报价</w:t>
            </w:r>
          </w:p>
          <w:p>
            <w:pPr>
              <w:pStyle w:val="13"/>
              <w:spacing w:before="91" w:line="360" w:lineRule="auto"/>
              <w:ind w:left="52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评标基准价计算时去掉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n1个最高评标价和n2个最低评标价。</w:t>
            </w:r>
          </w:p>
          <w:p>
            <w:pPr>
              <w:pStyle w:val="13"/>
              <w:numPr>
                <w:ilvl w:val="0"/>
                <w:numId w:val="2"/>
              </w:numPr>
              <w:spacing w:before="91" w:line="360" w:lineRule="auto"/>
              <w:ind w:left="52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当N&lt;6时，n1、n2均取0；</w:t>
            </w:r>
          </w:p>
          <w:p>
            <w:pPr>
              <w:pStyle w:val="13"/>
              <w:numPr>
                <w:ilvl w:val="0"/>
                <w:numId w:val="2"/>
              </w:numPr>
              <w:spacing w:before="91" w:line="360" w:lineRule="auto"/>
              <w:ind w:left="52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当N≧6时，去掉n1个最高评标价，去掉n2个最低评标价；</w:t>
            </w:r>
          </w:p>
          <w:p>
            <w:pPr>
              <w:pStyle w:val="13"/>
              <w:numPr>
                <w:ilvl w:val="0"/>
                <w:numId w:val="0"/>
              </w:numPr>
              <w:spacing w:before="91" w:line="360" w:lineRule="auto"/>
              <w:ind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n1在取值区间1～M-1中随机抽取（最小为1），n2在取值区间1～M+1中随机抽取；M=N/4，M向下取整。</w:t>
            </w:r>
          </w:p>
          <w:p>
            <w:pPr>
              <w:pStyle w:val="13"/>
              <w:numPr>
                <w:ilvl w:val="0"/>
                <w:numId w:val="0"/>
              </w:numPr>
              <w:spacing w:before="91" w:line="360" w:lineRule="auto"/>
              <w:ind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其中N为第二信封（报价文件）现场开标有效的投标人数量，超过最高投标限价的投标人不参与计算。</w:t>
            </w:r>
          </w:p>
          <w:p>
            <w:pPr>
              <w:pStyle w:val="13"/>
              <w:numPr>
                <w:ilvl w:val="0"/>
                <w:numId w:val="0"/>
              </w:numPr>
              <w:spacing w:before="91" w:line="360" w:lineRule="auto"/>
              <w:ind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根据上述规则去除n1个最高值和n2个最低值后，其余评标价参与评标基准价的计算，评标基准价保留两位小数，小数点后第三位“四舍五入”。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评标基准价：随机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系数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法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评标基准价P＝(Emax-Emin)×K+ Emin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Emax——去掉n1个最高评标价后的最大值。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Emin——去掉n2个最低评标价后的最小值。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K——基准价系数，由在第二信封（报价文件）开标现场随机抽取的X、Y两个系数构成，K=(X+Y/10)/10，其中X、Y各设10个系数，分别为0、1、2、3、4、5、6、7、8、9。</w:t>
            </w:r>
          </w:p>
          <w:p>
            <w:pPr>
              <w:pStyle w:val="13"/>
              <w:spacing w:line="360" w:lineRule="auto"/>
              <w:ind w:right="-15" w:firstLine="315" w:firstLineChars="150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评标基准价在整个评审期间保持不变，不随通过第二信封（报价文件）评审的投标人数量发生变化。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spacing w:before="191"/>
              <w:ind w:left="0" w:leftChars="0" w:right="661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2.2.3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spacing w:line="321" w:lineRule="auto"/>
              <w:ind w:left="0" w:leftChars="0" w:right="115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评标价的偏差率计算公式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before="89" w:line="321" w:lineRule="auto"/>
              <w:ind w:left="108" w:right="95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偏差率=100% ×（投标人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价－评标基准价）/评标基准价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，偏差率保留小数点后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位，小数点后第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位“四舍五入”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13"/>
              <w:spacing w:before="3"/>
              <w:jc w:val="center"/>
              <w:rPr>
                <w:rFonts w:hint="eastAsia" w:ascii="宋体" w:hAnsi="宋体" w:eastAsia="宋体" w:cs="宋体"/>
                <w:color w:val="auto"/>
                <w:sz w:val="25"/>
                <w:highlight w:val="none"/>
              </w:rPr>
            </w:pPr>
          </w:p>
          <w:p>
            <w:pPr>
              <w:pStyle w:val="13"/>
              <w:ind w:left="0" w:leftChars="0" w:right="661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2.2.4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>
            <w:pPr>
              <w:pStyle w:val="13"/>
              <w:spacing w:before="172"/>
              <w:ind w:left="0" w:leftChars="0" w:right="306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before="90"/>
              <w:ind w:left="108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投标人投标报价得分的计算：</w:t>
            </w:r>
          </w:p>
          <w:p>
            <w:pPr>
              <w:pStyle w:val="13"/>
              <w:spacing w:before="91" w:line="321" w:lineRule="auto"/>
              <w:ind w:left="108" w:right="94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（1）如果投标人的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价&gt;评标基准价，则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得分＝100－偏差率×100×E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；</w:t>
            </w:r>
          </w:p>
          <w:p>
            <w:pPr>
              <w:pStyle w:val="13"/>
              <w:spacing w:line="321" w:lineRule="auto"/>
              <w:ind w:left="108" w:right="94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（2）如果投标人的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≤评标基准价，则评标价得分＝100＋偏差率×100×E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。</w:t>
            </w:r>
          </w:p>
          <w:p>
            <w:pPr>
              <w:pStyle w:val="13"/>
              <w:spacing w:line="321" w:lineRule="auto"/>
              <w:ind w:left="108" w:right="94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E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u w:val="single"/>
                <w:lang w:val="en-US" w:eastAsia="zh-CN"/>
              </w:rPr>
              <w:t xml:space="preserve"> 1.5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E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u w:val="single"/>
                <w:lang w:val="en-US" w:eastAsia="zh-CN"/>
              </w:rPr>
              <w:t>1</w:t>
            </w:r>
          </w:p>
          <w:p>
            <w:pPr>
              <w:pStyle w:val="13"/>
              <w:spacing w:line="321" w:lineRule="auto"/>
              <w:ind w:left="108" w:right="93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其中：E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每高于评标基准价一个百分点的扣分值，E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价每低于评标基准价一个百分点的扣分值。</w:t>
            </w:r>
          </w:p>
          <w:p>
            <w:pPr>
              <w:pStyle w:val="13"/>
              <w:spacing w:line="321" w:lineRule="auto"/>
              <w:ind w:left="108" w:right="93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所有评分分值计算保留小数点后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位，小数点后第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位“四舍五入”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75" w:type="dxa"/>
            <w:noWrap w:val="0"/>
            <w:vAlign w:val="center"/>
          </w:tcPr>
          <w:p>
            <w:pPr>
              <w:pStyle w:val="13"/>
              <w:ind w:left="0" w:leftChars="0" w:right="661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highlight w:val="none"/>
                <w:lang w:val="en-US" w:eastAsia="zh-CN"/>
              </w:rPr>
              <w:t>3.4.2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13"/>
              <w:spacing w:before="172"/>
              <w:ind w:right="306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分值计算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13"/>
              <w:spacing w:line="321" w:lineRule="auto"/>
              <w:ind w:left="108" w:right="93"/>
              <w:jc w:val="left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投标人得分分值计算保留小数点后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位，小数点后第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位“四舍五入”</w:t>
            </w:r>
          </w:p>
        </w:tc>
      </w:tr>
    </w:tbl>
    <w:p>
      <w:pPr>
        <w:pStyle w:val="4"/>
        <w:rPr>
          <w:rFonts w:hint="eastAsia" w:ascii="宋体" w:hAnsi="宋体" w:eastAsia="宋体" w:cs="宋体"/>
          <w:color w:val="auto"/>
          <w:sz w:val="20"/>
          <w:highlight w:val="none"/>
        </w:rPr>
      </w:pPr>
    </w:p>
    <w:bookmarkEnd w:id="0"/>
    <w:p>
      <w:pPr>
        <w:autoSpaceDE w:val="0"/>
        <w:autoSpaceDN w:val="0"/>
        <w:adjustRightInd w:val="0"/>
        <w:spacing w:beforeLines="0" w:afterLines="0"/>
        <w:jc w:val="center"/>
        <w:rPr>
          <w:rFonts w:hint="default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76FE6"/>
    <w:multiLevelType w:val="singleLevel"/>
    <w:tmpl w:val="19376F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036A8B1"/>
    <w:multiLevelType w:val="singleLevel"/>
    <w:tmpl w:val="2036A8B1"/>
    <w:lvl w:ilvl="0" w:tentative="0">
      <w:start w:val="1"/>
      <w:numFmt w:val="decimal"/>
      <w:suff w:val="nothing"/>
      <w:lvlText w:val="（%1）"/>
      <w:lvlJc w:val="left"/>
      <w:pPr>
        <w:ind w:left="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ViN2M5Y2Y0ZjU3NTg3OTEzNjFhYjRjZTYyYzAifQ=="/>
  </w:docVars>
  <w:rsids>
    <w:rsidRoot w:val="557E1660"/>
    <w:rsid w:val="059041E1"/>
    <w:rsid w:val="106618D1"/>
    <w:rsid w:val="112F2A74"/>
    <w:rsid w:val="27E440EE"/>
    <w:rsid w:val="2C8868D9"/>
    <w:rsid w:val="3CFA2D1F"/>
    <w:rsid w:val="3F353E9E"/>
    <w:rsid w:val="4989732B"/>
    <w:rsid w:val="557E1660"/>
    <w:rsid w:val="59466E0D"/>
    <w:rsid w:val="6CEE0D79"/>
    <w:rsid w:val="79E434D9"/>
    <w:rsid w:val="7BA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jc w:val="left"/>
      <w:outlineLvl w:val="2"/>
    </w:pPr>
    <w:rPr>
      <w:rFonts w:hint="eastAsia" w:ascii="黑体" w:hAnsi="黑体" w:eastAsia="黑体"/>
      <w:b/>
      <w:sz w:val="4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List Paragraph"/>
    <w:basedOn w:val="1"/>
    <w:qFormat/>
    <w:uiPriority w:val="1"/>
    <w:pPr>
      <w:spacing w:before="2"/>
      <w:ind w:left="1474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3986</Words>
  <Characters>4379</Characters>
  <Lines>0</Lines>
  <Paragraphs>0</Paragraphs>
  <TotalTime>32</TotalTime>
  <ScaleCrop>false</ScaleCrop>
  <LinksUpToDate>false</LinksUpToDate>
  <CharactersWithSpaces>4480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2022-06-15T03:58:00Z</dcterms:created>
  <dc:creator>WPS_1600825042</dc:creator>
  <cp:lastModifiedBy>LDF</cp:lastModifiedBy>
  <dcterms:modified xsi:type="dcterms:W3CDTF">2023-09-17T03:26:23Z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D1FEC840081E48F8BF302EAB8022B9F6</vt:lpwstr>
  </property>
</Properties>
</file>